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3" Type="http://schemas.openxmlformats.org/officeDocument/2006/relationships/custom-properties" Target="docProps/custom.xml" /><Relationship Id="rId0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14="http://schemas.microsoft.com/office/word/2010/wordprocessingDrawing" xmlns:v="urn:schemas-microsoft-com:vml" xmlns:w14="http://schemas.microsoft.com/office/word/2010/wordml" xmlns:wpi="http://schemas.microsoft.com/office/word/2010/wordprocessingInk" xmlns:w10="urn:schemas-microsoft-com:office:word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body>
    <w:p>
      <w:pPr>
        <w:adjustRightInd w:val="0"/>
        <w:snapToGrid w:val="0"/>
        <w:rPr>
          <w:sz w:val="32"/>
          <w:szCs w:val="32"/>
          <w:rFonts w:ascii="仿宋_GB2312" w:hAnsi="仿宋_GB2312" w:eastAsia="仿宋_GB2312" w:cs="仿宋_GB2312"/>
        </w:rPr>
      </w:pPr>
      <w:r>
        <w:rPr>
          <w:sz w:val="32"/>
          <w:szCs w:val="32"/>
          <w:rFonts w:ascii="仿宋_GB2312" w:hAnsi="仿宋_GB2312" w:eastAsia="仿宋_GB2312" w:cs="仿宋_GB2312" w:hint="eastAsia"/>
        </w:rPr>
        <w:t>附件2</w:t>
      </w:r>
    </w:p>
    <w:p>
      <w:pPr>
        <w:adjustRightInd w:val="0"/>
        <w:snapToGrid w:val="0"/>
        <w:jc w:val="center"/>
        <w:rPr>
          <w:sz w:val="44"/>
          <w:szCs w:val="44"/>
          <w:rFonts w:ascii="方正小标宋简体" w:hAnsi="方正小标宋简体" w:eastAsia="方正小标宋简体" w:cs="方正小标宋简体"/>
        </w:rPr>
      </w:pPr>
      <w:r>
        <w:rPr>
          <w:sz w:val="44"/>
          <w:szCs w:val="44"/>
          <w:rFonts w:ascii="方正小标宋简体" w:hAnsi="方正小标宋简体" w:eastAsia="方正小标宋简体" w:cs="方正小标宋简体" w:hint="eastAsia"/>
        </w:rPr>
        <w:t>北京林业大学学生社团指导教师评议表</w:t>
      </w:r>
    </w:p>
    <w:p>
      <w:pPr>
        <w:adjustRightInd w:val="0"/>
        <w:snapToGrid w:val="0"/>
        <w:jc w:val="center"/>
        <w:rPr>
          <w:sz w:val="44"/>
          <w:szCs w:val="44"/>
          <w:rFonts w:ascii="方正小标宋简体" w:hAnsi="方正小标宋简体" w:eastAsia="方正小标宋简体" w:cs="方正小标宋简体"/>
        </w:rPr>
      </w:pPr>
      <w:r>
        <w:rPr>
          <w:sz w:val="44"/>
          <w:szCs w:val="44"/>
          <w:rFonts w:ascii="方正小标宋简体" w:hAnsi="方正小标宋简体" w:eastAsia="方正小标宋简体" w:cs="方正小标宋简体" w:hint="eastAsia"/>
        </w:rPr>
        <w:t>（学生负责人填写）</w:t>
      </w:r>
    </w:p>
    <w:tbl>
      <w:tblPr>
        <w:tblStyle w:val="6"/>
        <w:tblW w:w="4996" w:type="pct"/>
        <w:jc w:val="center"/>
        <w:tblLayout w:type="fixe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2218.000000"/>
        <w:gridCol w:w="1679.000000"/>
        <w:gridCol w:w="644.000000"/>
        <w:gridCol w:w="2409.000000"/>
        <w:gridCol w:w="888.000000"/>
        <w:gridCol w:w="819.000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290" w:hRule="atLeast"/>
          <w:jc w:val="center"/>
        </w:trPr>
        <w:tc>
          <w:tcPr>
            <w:tcW w:w="44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jc w:val="left"/>
              <w:rPr>
                <w:sz w:val="24"/>
                <w:szCs w:val="30"/>
                <w:rFonts w:ascii="仿宋_GB2312" w:hAnsi="仿宋_GB2312" w:eastAsia="仿宋_GB2312" w:cs="仿宋_GB2312"/>
              </w:rPr>
            </w:pPr>
            <w:r>
              <w:rPr>
                <w:sz w:val="24"/>
                <w:szCs w:val="30"/>
                <w:rFonts w:ascii="仿宋_GB2312" w:hAnsi="仿宋_GB2312" w:eastAsia="仿宋_GB2312" w:cs="仿宋_GB2312" w:hint="eastAsia"/>
              </w:rPr>
              <w:t>学生社团名称：</w:t>
            </w:r>
          </w:p>
        </w:tc>
        <w:tc>
          <w:tcPr>
            <w:tcW w:w="40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jc w:val="left"/>
              <w:rPr>
                <w:sz w:val="24"/>
                <w:szCs w:val="30"/>
                <w:rFonts w:ascii="仿宋_GB2312" w:hAnsi="仿宋_GB2312" w:eastAsia="仿宋_GB2312" w:cs="仿宋_GB2312"/>
              </w:rPr>
            </w:pPr>
            <w:r>
              <w:rPr>
                <w:sz w:val="24"/>
                <w:szCs w:val="30"/>
                <w:rFonts w:ascii="仿宋_GB2312" w:hAnsi="仿宋_GB2312" w:eastAsia="仿宋_GB2312" w:cs="仿宋_GB2312" w:hint="eastAsia"/>
              </w:rPr>
              <w:t>填表人：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215" w:hRule="atLeast"/>
          <w:jc w:val="center"/>
        </w:trPr>
        <w:tc>
          <w:tcPr>
            <w:tcW w:w="442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djustRightInd w:val="0"/>
              <w:snapToGrid w:val="0"/>
              <w:jc w:val="left"/>
              <w:rPr>
                <w:sz w:val="24"/>
                <w:szCs w:val="30"/>
                <w:rFonts w:ascii="仿宋_GB2312" w:hAnsi="仿宋_GB2312" w:eastAsia="仿宋_GB2312" w:cs="仿宋_GB2312"/>
              </w:rPr>
            </w:pPr>
            <w:r>
              <w:rPr>
                <w:sz w:val="24"/>
                <w:szCs w:val="30"/>
                <w:rFonts w:ascii="仿宋_GB2312" w:hAnsi="仿宋_GB2312" w:eastAsia="仿宋_GB2312" w:cs="仿宋_GB2312" w:hint="eastAsia"/>
              </w:rPr>
              <w:t>学生社团指导教师：</w:t>
            </w:r>
          </w:p>
        </w:tc>
        <w:tc>
          <w:tcPr>
            <w:tcW w:w="4013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djustRightInd w:val="0"/>
              <w:snapToGrid w:val="0"/>
              <w:jc w:val="left"/>
              <w:rPr>
                <w:sz w:val="24"/>
                <w:szCs w:val="30"/>
                <w:rFonts w:ascii="仿宋_GB2312" w:hAnsi="仿宋_GB2312" w:eastAsia="仿宋_GB2312" w:cs="仿宋_GB2312"/>
              </w:rPr>
            </w:pPr>
            <w:r>
              <w:rPr>
                <w:sz w:val="24"/>
                <w:szCs w:val="30"/>
                <w:rFonts w:ascii="仿宋_GB2312" w:hAnsi="仿宋_GB2312" w:eastAsia="仿宋_GB2312" w:cs="仿宋_GB2312" w:hint="eastAsia"/>
              </w:rPr>
              <w:t>填表日期：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665" w:hRule="atLeast"/>
          <w:jc w:val="center"/>
        </w:trPr>
        <w:tc>
          <w:tcPr>
            <w:tcW w:w="2162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bCs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bCs/>
                <w:kern w:val="0"/>
                <w:szCs w:val="28"/>
                <w:rFonts w:ascii="仿宋_GB2312" w:hAnsi="仿宋_GB2312" w:eastAsia="仿宋_GB2312" w:cs="仿宋_GB2312" w:hint="eastAsia"/>
              </w:rPr>
              <w:t>一级指标</w:t>
            </w:r>
          </w:p>
        </w:tc>
        <w:tc>
          <w:tcPr>
            <w:tcW w:w="4614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bCs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bCs/>
                <w:kern w:val="0"/>
                <w:szCs w:val="28"/>
                <w:rFonts w:ascii="仿宋_GB2312" w:hAnsi="仿宋_GB2312" w:eastAsia="仿宋_GB2312" w:cs="仿宋_GB2312" w:hint="eastAsia"/>
              </w:rPr>
              <w:t>二级指标</w:t>
            </w:r>
          </w:p>
        </w:tc>
        <w:tc>
          <w:tcPr>
            <w:tcW w:w="86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bCs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bCs/>
                <w:kern w:val="0"/>
                <w:szCs w:val="28"/>
                <w:rFonts w:ascii="仿宋_GB2312" w:hAnsi="仿宋_GB2312" w:eastAsia="仿宋_GB2312" w:cs="仿宋_GB2312" w:hint="eastAsia"/>
              </w:rPr>
              <w:t>评分</w:t>
            </w:r>
          </w:p>
        </w:tc>
        <w:tc>
          <w:tcPr>
            <w:tcW w:w="799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bCs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bCs/>
                <w:kern w:val="0"/>
                <w:szCs w:val="28"/>
                <w:rFonts w:ascii="仿宋_GB2312" w:hAnsi="仿宋_GB2312" w:eastAsia="仿宋_GB2312" w:cs="仿宋_GB2312"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67" w:hRule="atLeast"/>
          <w:jc w:val="center"/>
        </w:trPr>
        <w:tc>
          <w:tcPr>
            <w:tcW w:w="2162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落实“三个一”卓越计划（20分）</w:t>
            </w:r>
          </w:p>
        </w:tc>
        <w:tc>
          <w:tcPr>
            <w:tcW w:w="4614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指导学生社团制定并完成全学年工作计划</w:t>
            </w:r>
          </w:p>
        </w:tc>
        <w:tc>
          <w:tcPr>
            <w:tcW w:w="86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10</w:t>
            </w:r>
          </w:p>
        </w:tc>
        <w:tc>
          <w:tcPr>
            <w:tcW w:w="799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67" w:hRule="atLeast"/>
          <w:jc w:val="center"/>
        </w:trPr>
        <w:tc>
          <w:tcPr>
            <w:tcW w:w="2162" w:type="dxa"/>
            <w:vMerge w:val="continue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4614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长期指导</w:t>
            </w: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学生社团开展至少一个特色鲜明的品牌活动</w:t>
            </w:r>
          </w:p>
        </w:tc>
        <w:tc>
          <w:tcPr>
            <w:tcW w:w="86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10</w:t>
            </w:r>
          </w:p>
        </w:tc>
        <w:tc>
          <w:tcPr>
            <w:tcW w:w="799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67" w:hRule="atLeast"/>
          <w:jc w:val="center"/>
        </w:trPr>
        <w:tc>
          <w:tcPr>
            <w:tcW w:w="2162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重视学生社团</w:t>
            </w:r>
          </w:p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lang w:eastAsia="zh-CN"/>
                <w:kern w:val="0"/>
                <w:szCs w:val="28"/>
                <w:rFonts w:ascii="仿宋_GB2312" w:hAnsi="仿宋_GB2312" w:eastAsia="仿宋_GB2312" w:cs="仿宋_GB2312" w:hint="eastAsia"/>
              </w:rPr>
              <w:t>年度工作质量评比</w:t>
            </w: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（20分）</w:t>
            </w:r>
          </w:p>
        </w:tc>
        <w:tc>
          <w:tcPr>
            <w:tcW w:w="1638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lang w:eastAsia="zh-CN"/>
                <w:kern w:val="0"/>
                <w:szCs w:val="28"/>
                <w:rFonts w:ascii="仿宋_GB2312" w:hAnsi="仿宋_GB2312" w:eastAsia="仿宋_GB2312" w:cs="仿宋_GB2312" w:hint="eastAsia"/>
              </w:rPr>
            </w:pPr>
            <w:r>
              <w:rPr>
                <w:color w:val="000000"/>
                <w:sz w:val="24"/>
                <w:lang w:eastAsia="zh-CN"/>
                <w:kern w:val="0"/>
                <w:szCs w:val="28"/>
                <w:rFonts w:ascii="仿宋_GB2312" w:hAnsi="仿宋_GB2312" w:eastAsia="仿宋_GB2312" w:cs="仿宋_GB2312" w:hint="eastAsia"/>
              </w:rPr>
              <w:t>社团是否获得十佳社团</w:t>
            </w:r>
          </w:p>
        </w:tc>
        <w:tc>
          <w:tcPr>
            <w:tcW w:w="297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lang w:eastAsia="zh-CN"/>
                <w:kern w:val="0"/>
                <w:szCs w:val="28"/>
                <w:rFonts w:ascii="仿宋_GB2312" w:hAnsi="仿宋_GB2312" w:eastAsia="仿宋_GB2312" w:cs="仿宋_GB2312" w:hint="eastAsia"/>
              </w:rPr>
            </w:pPr>
            <w:r>
              <w:rPr>
                <w:color w:val="000000"/>
                <w:sz w:val="24"/>
                <w:lang w:eastAsia="zh-CN"/>
                <w:kern w:val="0"/>
                <w:szCs w:val="28"/>
                <w:rFonts w:ascii="仿宋_GB2312" w:hAnsi="仿宋_GB2312" w:eastAsia="仿宋_GB2312" w:cs="仿宋_GB2312" w:hint="eastAsia"/>
              </w:rPr>
              <w:t>否</w:t>
            </w:r>
          </w:p>
        </w:tc>
        <w:tc>
          <w:tcPr>
            <w:tcW w:w="866" w:type="dxa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5</w:t>
            </w:r>
          </w:p>
        </w:tc>
        <w:tc>
          <w:tcPr>
            <w:tcW w:w="799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67" w:hRule="atLeast"/>
          <w:jc w:val="center"/>
        </w:trPr>
        <w:tc>
          <w:tcPr>
            <w:tcW w:w="2162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1638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297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lang w:eastAsia="zh-CN"/>
                <w:kern w:val="0"/>
                <w:szCs w:val="28"/>
                <w:rFonts w:ascii="仿宋_GB2312" w:hAnsi="仿宋_GB2312" w:eastAsia="仿宋_GB2312" w:cs="仿宋_GB2312" w:hint="eastAsia"/>
              </w:rPr>
            </w:pPr>
            <w:r>
              <w:rPr>
                <w:sz w:val="24"/>
                <w:lang w:eastAsia="zh-CN"/>
                <w:kern w:val="0"/>
                <w:szCs w:val="28"/>
                <w:rFonts w:ascii="仿宋_GB2312" w:hAnsi="仿宋_GB2312" w:eastAsia="仿宋_GB2312" w:cs="仿宋_GB2312" w:hint="eastAsia"/>
              </w:rPr>
              <w:t>是</w:t>
            </w:r>
          </w:p>
        </w:tc>
        <w:tc>
          <w:tcPr>
            <w:tcW w:w="866" w:type="dxa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10</w:t>
            </w:r>
          </w:p>
        </w:tc>
        <w:tc>
          <w:tcPr>
            <w:tcW w:w="799" w:type="dxa"/>
            <w:vMerge w:val="continue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67" w:hRule="atLeast"/>
          <w:jc w:val="center"/>
        </w:trPr>
        <w:tc>
          <w:tcPr>
            <w:tcW w:w="2162" w:type="dxa"/>
            <w:vMerge w:val="continue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4614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lang w:eastAsia="zh-CN"/>
                <w:kern w:val="0"/>
                <w:szCs w:val="28"/>
                <w:rFonts w:ascii="仿宋_GB2312" w:hAnsi="仿宋_GB2312" w:eastAsia="仿宋_GB2312" w:cs="仿宋_GB2312" w:hint="eastAsia"/>
              </w:rPr>
            </w:pPr>
            <w:r>
              <w:rPr>
                <w:sz w:val="24"/>
                <w:lang w:eastAsia="zh-CN"/>
                <w:kern w:val="0"/>
                <w:szCs w:val="28"/>
                <w:rFonts w:ascii="仿宋_GB2312" w:hAnsi="仿宋_GB2312" w:eastAsia="仿宋_GB2312" w:cs="仿宋_GB2312" w:hint="eastAsia"/>
              </w:rPr>
              <w:t>社团正常参与年度十佳社团评选活动</w:t>
            </w:r>
          </w:p>
        </w:tc>
        <w:tc>
          <w:tcPr>
            <w:tcW w:w="86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10</w:t>
            </w:r>
          </w:p>
        </w:tc>
        <w:tc>
          <w:tcPr>
            <w:tcW w:w="799" w:type="dxa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873" w:hRule="atLeast"/>
          <w:jc w:val="center"/>
        </w:trPr>
        <w:tc>
          <w:tcPr>
            <w:tcW w:w="2162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严管学生社团</w:t>
            </w:r>
          </w:p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活动和财务审批（1</w:t>
            </w: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  <w:t>5</w:t>
            </w: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分）</w:t>
            </w:r>
          </w:p>
        </w:tc>
        <w:tc>
          <w:tcPr>
            <w:tcW w:w="4614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了解学生社团所有活动情况，并审批</w:t>
            </w:r>
          </w:p>
        </w:tc>
        <w:tc>
          <w:tcPr>
            <w:tcW w:w="866" w:type="dxa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5</w:t>
            </w:r>
          </w:p>
        </w:tc>
        <w:tc>
          <w:tcPr>
            <w:tcW w:w="799" w:type="dxa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67" w:hRule="atLeast"/>
          <w:jc w:val="center"/>
        </w:trPr>
        <w:tc>
          <w:tcPr>
            <w:tcW w:w="2162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b w:val="1"/>
                <w:sz w:val="24"/>
                <w:bCs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4614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知晓学生社团对外交流和财务使用情况</w:t>
            </w:r>
          </w:p>
        </w:tc>
        <w:tc>
          <w:tcPr>
            <w:tcW w:w="866" w:type="dxa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  <w:t>10</w:t>
            </w:r>
          </w:p>
        </w:tc>
        <w:tc>
          <w:tcPr>
            <w:tcW w:w="799" w:type="dxa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942" w:hRule="atLeast"/>
          <w:jc w:val="center"/>
        </w:trPr>
        <w:tc>
          <w:tcPr>
            <w:tcW w:w="2162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加强学生社团</w:t>
            </w:r>
          </w:p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团支部建设（1</w:t>
            </w: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  <w:t>5</w:t>
            </w: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分）</w:t>
            </w:r>
          </w:p>
        </w:tc>
        <w:tc>
          <w:tcPr>
            <w:tcW w:w="4614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团支部</w:t>
            </w:r>
            <w:r>
              <w:rPr>
                <w:color w:val="000000"/>
                <w:sz w:val="24"/>
                <w:lang w:eastAsia="zh-CN"/>
                <w:kern w:val="0"/>
                <w:szCs w:val="28"/>
                <w:rFonts w:ascii="仿宋_GB2312" w:hAnsi="仿宋_GB2312" w:eastAsia="仿宋_GB2312" w:cs="仿宋_GB2312" w:hint="eastAsia"/>
              </w:rPr>
              <w:t>具有明确的</w:t>
            </w: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团务管理、组织建设和制度</w:t>
            </w:r>
          </w:p>
        </w:tc>
        <w:tc>
          <w:tcPr>
            <w:tcW w:w="86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5</w:t>
            </w:r>
          </w:p>
        </w:tc>
        <w:tc>
          <w:tcPr>
            <w:tcW w:w="799" w:type="dxa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67" w:hRule="atLeast"/>
          <w:jc w:val="center"/>
        </w:trPr>
        <w:tc>
          <w:tcPr>
            <w:tcW w:w="2162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b w:val="1"/>
                <w:sz w:val="24"/>
                <w:bCs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4614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指导学生社团团支部坚持以思想引领为核心，参加学生社团团支部会议，参与活力团支部创建评审</w:t>
            </w:r>
          </w:p>
        </w:tc>
        <w:tc>
          <w:tcPr>
            <w:tcW w:w="86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  <w:t>10</w:t>
            </w:r>
          </w:p>
        </w:tc>
        <w:tc>
          <w:tcPr>
            <w:tcW w:w="799" w:type="dxa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999" w:hRule="atLeast"/>
          <w:jc w:val="center"/>
        </w:trPr>
        <w:tc>
          <w:tcPr>
            <w:tcW w:w="2162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做好学生社团</w:t>
            </w:r>
          </w:p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骨干培养及换届工作（10分）</w:t>
            </w:r>
          </w:p>
        </w:tc>
        <w:tc>
          <w:tcPr>
            <w:tcW w:w="1638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定期与学生社团骨干座谈，关心学生骨干学习生活状态</w:t>
            </w:r>
          </w:p>
        </w:tc>
        <w:tc>
          <w:tcPr>
            <w:tcW w:w="297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每学期两次以下</w:t>
            </w:r>
          </w:p>
        </w:tc>
        <w:tc>
          <w:tcPr>
            <w:tcW w:w="866" w:type="dxa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3</w:t>
            </w:r>
          </w:p>
        </w:tc>
        <w:tc>
          <w:tcPr>
            <w:tcW w:w="799" w:type="dxa"/>
            <w:vMerge w:val="restart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60" w:hRule="atLeast"/>
          <w:jc w:val="center"/>
        </w:trPr>
        <w:tc>
          <w:tcPr>
            <w:tcW w:w="2162" w:type="dxa"/>
            <w:vMerge w:val="continue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1638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297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每学期两次及以上</w:t>
            </w:r>
          </w:p>
        </w:tc>
        <w:tc>
          <w:tcPr>
            <w:tcW w:w="866" w:type="dxa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5</w:t>
            </w:r>
          </w:p>
        </w:tc>
        <w:tc>
          <w:tcPr>
            <w:tcW w:w="799" w:type="dxa"/>
            <w:vMerge w:val="continue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720" w:hRule="atLeast"/>
          <w:jc w:val="center"/>
        </w:trPr>
        <w:tc>
          <w:tcPr>
            <w:tcW w:w="2162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b w:val="1"/>
                <w:sz w:val="24"/>
                <w:bCs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4614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指导并参与学生社团换届工作</w:t>
            </w:r>
          </w:p>
        </w:tc>
        <w:tc>
          <w:tcPr>
            <w:tcW w:w="86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5</w:t>
            </w:r>
          </w:p>
        </w:tc>
        <w:tc>
          <w:tcPr>
            <w:tcW w:w="799" w:type="dxa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2031" w:hRule="exact"/>
          <w:jc w:val="center"/>
        </w:trPr>
        <w:tc>
          <w:tcPr>
            <w:tcW w:w="2162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鼓励学生社团</w:t>
            </w:r>
          </w:p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积极参与争先创优活动（10分）</w:t>
            </w:r>
          </w:p>
        </w:tc>
        <w:tc>
          <w:tcPr>
            <w:tcW w:w="1638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指导并支持学生社团参加学校组织的大型活动（例如校园吉尼斯、十佳学生社团评选等）</w:t>
            </w:r>
          </w:p>
        </w:tc>
        <w:tc>
          <w:tcPr>
            <w:tcW w:w="297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参加3次及以上</w:t>
            </w:r>
          </w:p>
        </w:tc>
        <w:tc>
          <w:tcPr>
            <w:tcW w:w="866" w:type="dxa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10</w:t>
            </w:r>
          </w:p>
        </w:tc>
        <w:tc>
          <w:tcPr>
            <w:tcW w:w="799" w:type="dxa"/>
            <w:vMerge w:val="restart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67" w:hRule="exact"/>
          <w:jc w:val="center"/>
        </w:trPr>
        <w:tc>
          <w:tcPr>
            <w:tcW w:w="2162" w:type="dxa"/>
            <w:vMerge w:val="continue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1638" w:type="dxa"/>
            <w:vMerge w:val="continue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297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参加1-2次</w:t>
            </w:r>
          </w:p>
        </w:tc>
        <w:tc>
          <w:tcPr>
            <w:tcW w:w="866" w:type="dxa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5</w:t>
            </w:r>
          </w:p>
        </w:tc>
        <w:tc>
          <w:tcPr>
            <w:tcW w:w="799" w:type="dxa"/>
            <w:vMerge w:val="continue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67" w:hRule="exact"/>
          <w:jc w:val="center"/>
        </w:trPr>
        <w:tc>
          <w:tcPr>
            <w:tcW w:w="2162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1638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297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参加0次</w:t>
            </w:r>
          </w:p>
        </w:tc>
        <w:tc>
          <w:tcPr>
            <w:tcW w:w="866" w:type="dxa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0</w:t>
            </w:r>
          </w:p>
        </w:tc>
        <w:tc>
          <w:tcPr>
            <w:tcW w:w="799" w:type="dxa"/>
            <w:vMerge w:val="continue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852" w:hRule="exact"/>
          <w:jc w:val="center"/>
        </w:trPr>
        <w:tc>
          <w:tcPr>
            <w:tcW w:w="2162" w:type="dxa"/>
            <w:vMerge w:val="restart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社团骨干、成员方面（10分）</w:t>
            </w:r>
          </w:p>
        </w:tc>
        <w:tc>
          <w:tcPr>
            <w:tcW w:w="1638" w:type="dxa"/>
            <w:vMerge w:val="restart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通过问卷调查，学生社团骨干、成员对指导教师满意度（调查范围不少于三分之一社团成员人数并留有问卷、聊天等相关证明截图）</w:t>
            </w:r>
          </w:p>
        </w:tc>
        <w:tc>
          <w:tcPr>
            <w:tcW w:w="297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80%及以上人员满意</w:t>
            </w:r>
          </w:p>
        </w:tc>
        <w:tc>
          <w:tcPr>
            <w:tcW w:w="866" w:type="dxa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10</w:t>
            </w:r>
          </w:p>
        </w:tc>
        <w:tc>
          <w:tcPr>
            <w:tcW w:w="799" w:type="dxa"/>
            <w:vMerge w:val="restart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710" w:hRule="exact"/>
          <w:jc w:val="center"/>
        </w:trPr>
        <w:tc>
          <w:tcPr>
            <w:tcW w:w="2162" w:type="dxa"/>
            <w:vMerge w:val="continue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1638" w:type="dxa"/>
            <w:vMerge w:val="continue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297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80-60%人员满意</w:t>
            </w:r>
          </w:p>
        </w:tc>
        <w:tc>
          <w:tcPr>
            <w:tcW w:w="866" w:type="dxa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5</w:t>
            </w:r>
          </w:p>
        </w:tc>
        <w:tc>
          <w:tcPr>
            <w:tcW w:w="799" w:type="dxa"/>
            <w:vMerge w:val="continue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1246" w:hRule="exact"/>
          <w:jc w:val="center"/>
        </w:trPr>
        <w:tc>
          <w:tcPr>
            <w:tcW w:w="2162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1638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297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60%以下人员满意</w:t>
            </w:r>
          </w:p>
        </w:tc>
        <w:tc>
          <w:tcPr>
            <w:tcW w:w="866" w:type="dxa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0</w:t>
            </w:r>
          </w:p>
        </w:tc>
        <w:tc>
          <w:tcPr>
            <w:tcW w:w="799" w:type="dxa"/>
            <w:vMerge w:val="continue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67" w:hRule="exact"/>
          <w:jc w:val="center"/>
        </w:trPr>
        <w:tc>
          <w:tcPr>
            <w:tcW w:w="7642" w:type="dxa"/>
            <w:gridSpan w:val="5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总  分</w:t>
            </w:r>
          </w:p>
        </w:tc>
        <w:tc>
          <w:tcPr>
            <w:tcW w:w="799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4249" w:hRule="exact"/>
          <w:jc w:val="center"/>
        </w:trPr>
        <w:tc>
          <w:tcPr>
            <w:tcW w:w="84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社团负责人、骨干与成员对指导教师的意见与建议：</w:t>
            </w:r>
          </w:p>
        </w:tc>
      </w:tr>
    </w:tbl>
    <w:p>
      <w:pPr>
        <w:adjustRightInd w:val="0"/>
        <w:snapToGrid w:val="0"/>
        <w:jc w:val="left"/>
        <w:ind w:firstLine="480" w:firstLineChars="200"/>
        <w:rPr>
          <w:sz w:val="24"/>
          <w:szCs w:val="24"/>
          <w:rFonts w:ascii="仿宋" w:hAnsi="仿宋" w:eastAsia="仿宋"/>
        </w:rPr>
      </w:pPr>
      <w:bookmarkStart w:id="0" w:name="_GoBack"/>
      <w:bookmarkEnd w:id="0"/>
      <w:r>
        <w:rPr>
          <w:sz w:val="24"/>
          <w:szCs w:val="24"/>
          <w:rFonts w:ascii="仿宋_GB2312" w:hAnsi="仿宋_GB2312" w:eastAsia="仿宋_GB2312" w:cs="仿宋_GB2312" w:hint="eastAsia"/>
        </w:rPr>
        <w:t>注：学生社团负责人于</w:t>
      </w:r>
      <w:r>
        <w:rPr>
          <w:sz w:val="24"/>
          <w:szCs w:val="24"/>
          <w:rFonts w:ascii="仿宋_GB2312" w:hAnsi="仿宋_GB2312" w:eastAsia="仿宋_GB2312" w:cs="仿宋_GB2312"/>
        </w:rPr>
        <w:t>6月2</w:t>
      </w:r>
      <w:r>
        <w:rPr>
          <w:sz w:val="24"/>
          <w:lang w:val="en-US" w:eastAsia="zh-CN"/>
          <w:szCs w:val="24"/>
          <w:rFonts w:ascii="仿宋_GB2312" w:hAnsi="仿宋_GB2312" w:eastAsia="仿宋_GB2312" w:cs="仿宋_GB2312" w:hint="eastAsia"/>
        </w:rPr>
        <w:t>1</w:t>
      </w:r>
      <w:r>
        <w:rPr>
          <w:sz w:val="24"/>
          <w:szCs w:val="24"/>
          <w:rFonts w:ascii="仿宋_GB2312" w:hAnsi="仿宋_GB2312" w:eastAsia="仿宋_GB2312" w:cs="仿宋_GB2312"/>
        </w:rPr>
        <w:t>日（周</w:t>
      </w:r>
      <w:r>
        <w:rPr>
          <w:sz w:val="24"/>
          <w:lang w:val="en-US" w:eastAsia="zh-CN"/>
          <w:szCs w:val="24"/>
          <w:rFonts w:ascii="仿宋_GB2312" w:hAnsi="仿宋_GB2312" w:eastAsia="仿宋_GB2312" w:cs="仿宋_GB2312" w:hint="eastAsia"/>
        </w:rPr>
        <w:t>五</w:t>
      </w:r>
      <w:r>
        <w:rPr>
          <w:sz w:val="24"/>
          <w:szCs w:val="24"/>
          <w:rFonts w:ascii="仿宋_GB2312" w:hAnsi="仿宋_GB2312" w:eastAsia="仿宋_GB2312" w:cs="仿宋_GB2312"/>
        </w:rPr>
        <w:t>）前提交《北京林业大学学生社团指导教师评议表》（附件2）至</w:t>
      </w:r>
      <w:r>
        <w:rPr>
          <w:sz w:val="24"/>
          <w:lang w:val="en-US" w:eastAsia="zh-CN"/>
          <w:szCs w:val="24"/>
          <w:rFonts w:ascii="仿宋_GB2312" w:hAnsi="仿宋_GB2312" w:eastAsia="仿宋_GB2312" w:cs="仿宋_GB2312" w:hint="eastAsia"/>
        </w:rPr>
        <w:t>kaopeizx</w:t>
      </w:r>
      <w:r>
        <w:rPr>
          <w:sz w:val="24"/>
          <w:szCs w:val="24"/>
          <w:rFonts w:ascii="仿宋_GB2312" w:hAnsi="仿宋_GB2312" w:eastAsia="仿宋_GB2312" w:cs="仿宋_GB2312"/>
        </w:rPr>
        <w:t>@1</w:t>
      </w:r>
      <w:r>
        <w:rPr>
          <w:sz w:val="24"/>
          <w:lang w:val="en-US" w:eastAsia="zh-CN"/>
          <w:szCs w:val="24"/>
          <w:rFonts w:ascii="仿宋_GB2312" w:hAnsi="仿宋_GB2312" w:eastAsia="仿宋_GB2312" w:cs="仿宋_GB2312" w:hint="eastAsia"/>
        </w:rPr>
        <w:t>26</w:t>
      </w:r>
      <w:r>
        <w:rPr>
          <w:sz w:val="24"/>
          <w:szCs w:val="24"/>
          <w:rFonts w:ascii="仿宋_GB2312" w:hAnsi="仿宋_GB2312" w:eastAsia="仿宋_GB2312" w:cs="仿宋_GB2312"/>
        </w:rPr>
        <w:t>.com（命名“指导教师考核+社团名称+学生负责人”）。</w:t>
      </w:r>
    </w:p>
    <w:sectPr>
      <w:footerReference r:id="rId4" w:type="default"/>
      <w:docGrid w:type="lines" w:linePitch="312" w:charSpace="0"/>
      <w:pgSz w:w="11906" w:h="16838"/>
      <w:pgMar w:top="1531" w:right="1474" w:bottom="1587" w:left="1984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14="http://schemas.microsoft.com/office/word/2010/wordml" xmlns:w="http://schemas.openxmlformats.org/wordprocessingml/2006/main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14="http://schemas.microsoft.com/office/word/2010/wordprocessingDrawing" xmlns:v="urn:schemas-microsoft-com:vml" xmlns:w10="urn:schemas-microsoft-com:office:word" xmlns:wpi="http://schemas.microsoft.com/office/word/2010/wordprocessingInk" xmlns:w14="http://schemas.microsoft.com/office/word/2010/wordml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sdt>
    <w:sdtPr>
      <w:id w:val="13854873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w="http://schemas.openxmlformats.org/wordprocessingml/2006/main" xmlns:m="http://schemas.openxmlformats.org/officeDocument/2006/math" xmlns:w10="urn:schemas-microsoft-com:office:word" xmlns:wpsCustomData="http://www.wps.cn/officeDocument/2013/wpsCustomData" xmlns:v="urn:schemas-microsoft-com:vml" xmlns:sl="http://schemas.openxmlformats.org/schemaLibrary/2006/main" xmlns:r="http://schemas.openxmlformats.org/officeDocument/2006/relationships" xmlns:w14="http://schemas.microsoft.com/office/word/2010/wordml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zoom w:percent="9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</w:compat>
  <w:rsids>
    <w:rsidRoot w:val="00000000"/>
    <w:rsid w:val="49CD7F2F"/>
    <w:rsid w:val="79BC542E"/>
  </w:rsids>
  <m:mathPr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mc="http://schemas.openxmlformats.org/markup-compatibility/2006" xmlns:o="urn:schemas-microsoft-com:office:office" xmlns:w="http://schemas.openxmlformats.org/wordprocessingml/2006/main" xmlns:m="http://schemas.openxmlformats.org/officeDocument/2006/math" xmlns:v="urn:schemas-microsoft-com:vml" xmlns:sl="http://schemas.openxmlformats.org/schemaLibrary/2006/main" xmlns:r="http://schemas.openxmlformats.org/officeDocument/2006/relationships" xmlns:w14="http://schemas.microsoft.com/office/word/2010/wordml" xmlns:w10="urn:schemas-microsoft-com:office:word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SemiHidden="1" w:defUnhideWhenUsed="1" w:defQFormat="0" w:defUIPriority="99" w:count="260">
    <w:lsdException w:name="Balloon Text"/>
    <w:lsdException w:name="Block Text"/>
    <w:lsdException w:name="Body Text"/>
    <w:lsdException w:name="Body Text 2"/>
    <w:lsdException w:name="Body Text 3"/>
    <w:lsdException w:name="Body Text First Indent"/>
    <w:lsdException w:name="Body Text First Indent 2"/>
    <w:lsdException w:name="Body Text Indent"/>
    <w:lsdException w:name="Body Text Indent 2"/>
    <w:lsdException w:name="Body Text Indent 3"/>
    <w:lsdException w:name="Closing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 w:semiHidden="0"/>
    <w:lsdException w:name="Default Paragraph Font" w:semiHidden="0"/>
    <w:lsdException w:name="Document Map"/>
    <w:lsdException w:name="E-mail Signature"/>
    <w:lsdException w:name="Emphasis" w:semiHidden="0" w:unhideWhenUsed="0"/>
    <w:lsdException w:name="FollowedHyperlink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Hyperlink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/>
    <w:lsdException w:name="List 2"/>
    <w:lsdException w:name="List 3"/>
    <w:lsdException w:name="List 4"/>
    <w:lsdException w:name="List 5"/>
    <w:lsdException w:name="List Bullet"/>
    <w:lsdException w:name="List Bullet 2"/>
    <w:lsdException w:name="List Bullet 3"/>
    <w:lsdException w:name="List Bullet 4"/>
    <w:lsdException w:name="List Bullet 5"/>
    <w:lsdException w:name="List Continue"/>
    <w:lsdException w:name="List Continue 2"/>
    <w:lsdException w:name="List Continue 3"/>
    <w:lsdException w:name="List Continue 4"/>
    <w:lsdException w:name="List Continue 5"/>
    <w:lsdException w:name="List Number"/>
    <w:lsdException w:name="List Number 2"/>
    <w:lsdException w:name="List Number 3"/>
    <w:lsdException w:name="List Number 4"/>
    <w:lsdException w:name="List Number 5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/>
    <w:lsdException w:name="Normal" w:semiHidden="0" w:unhideWhenUsed="0"/>
    <w:lsdException w:name="Normal (Web)"/>
    <w:lsdException w:name="Normal Indent"/>
    <w:lsdException w:name="Normal Table" w:semiHidden="0"/>
    <w:lsdException w:name="Note Heading"/>
    <w:lsdException w:name="Plain Text"/>
    <w:lsdException w:name="Salutation"/>
    <w:lsdException w:name="Signature"/>
    <w:lsdException w:name="Strong" w:semiHidden="0" w:unhideWhenUsed="0"/>
    <w:lsdException w:name="Subtitle" w:semiHidden="0" w:unhideWhenUsed="0"/>
    <w:lsdException w:name="Table 3D effects 1"/>
    <w:lsdException w:name="Table 3D effects 2"/>
    <w:lsdException w:name="Table 3D effects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Contemporary"/>
    <w:lsdException w:name="Table Elegant"/>
    <w:lsdException w:name="Table Grid" w:semiHidden="0" w:unhideWhenUsed="0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Professional"/>
    <w:lsdException w:name="Table Simple 1"/>
    <w:lsdException w:name="Table Simple 2"/>
    <w:lsdException w:name="Table Simple 3"/>
    <w:lsdException w:name="Table Subtle 1"/>
    <w:lsdException w:name="Table Subtle 2"/>
    <w:lsdException w:name="Table Theme"/>
    <w:lsdException w:name="Table Web 1"/>
    <w:lsdException w:name="Table Web 2"/>
    <w:lsdException w:name="Table Web 3"/>
    <w:lsdException w:name="Title" w:semiHidden="0" w:unhideWhenUsed="0"/>
    <w:lsdException w:name="annotation reference"/>
    <w:lsdException w:name="annotation subject"/>
    <w:lsdException w:name="annotation text"/>
    <w:lsdException w:name="caption"/>
    <w:lsdException w:name="endnote reference"/>
    <w:lsdException w:name="endnote text"/>
    <w:lsdException w:name="envelope address"/>
    <w:lsdException w:name="envelope return"/>
    <w:lsdException w:name="footer" w:semiHidden="0"/>
    <w:lsdException w:name="footnote reference"/>
    <w:lsdException w:name="footnote text"/>
    <w:lsdException w:name="header" w:semiHidden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index heading"/>
    <w:lsdException w:name="line number"/>
    <w:lsdException w:name="macro"/>
    <w:lsdException w:name="page number"/>
    <w:lsdException w:name="table of authorities"/>
    <w:lsdException w:name="table of figures"/>
    <w:lsdException w:name="toa heading"/>
    <w:lsdException w:name="toc 1"/>
    <w:lsdException w:name="toc 2"/>
    <w:lsdException w:name="toc 3"/>
    <w:lsdException w:name="toc 4"/>
    <w:lsdException w:name="toc 5"/>
    <w:lsdException w:name="toc 6"/>
    <w:lsdException w:name="toc 7"/>
    <w:lsdException w:name="toc 8"/>
    <w:lsdException w:name="toc 9"/>
  </w:latentStyles>
  <w:style w:type="paragraph" w:styleId="1" w:default="1">
    <w:name w:val="Normal"/>
    <w:uiPriority w:val="0"/>
    <w:qFormat/>
    <w:pPr>
      <w:widowControl w:val="0"/>
      <w:jc w:val="both"/>
      <w:widowControl w:val="0"/>
      <w:widowControl w:val="0"/>
    </w:pPr>
    <w:rPr>
      <w:sz w:val="21"/>
      <w:lang w:val="en-US" w:eastAsia="zh-CN" w:bidi="ar-SA"/>
      <w:kern w:val="2"/>
      <w:szCs w:val="22"/>
      <w:rFonts w:asciiTheme="minorHAnsi" w:hAnsiTheme="minorHAnsi" w:eastAsiaTheme="minorEastAsia" w:cstheme="minorBidi"/>
    </w:rPr>
  </w:style>
  <w:style w:type="character" w:styleId="7" w:default="1">
    <w:name w:val="Default Paragraph Font"/>
    <w:uiPriority w:val="1"/>
    <w:unhideWhenUsed/>
    <w:qFormat/>
  </w:style>
  <w:style w:type="table" w:styleId="5" w:default="1">
    <w:name w:val="Normal Table"/>
    <w:uiPriority w:val="99"/>
    <w:unhideWhenUsed/>
    <w:qFormat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2">
    <w:name w:val="Date"/>
    <w:basedOn w:val="1"/>
    <w:link w:val="10"/>
    <w:uiPriority w:val="99"/>
    <w:unhideWhenUsed/>
    <w:qFormat/>
    <w:pPr>
      <w:ind w:left="100" w:leftChars="2500"/>
    </w:pPr>
  </w:style>
  <w:style w:type="paragraph" w:styleId="3">
    <w:name w:val="footer"/>
    <w:basedOn w:val="1"/>
    <w:link w:val="9"/>
    <w:uiPriority w:val="99"/>
    <w:unhideWhenUsed/>
    <w:qFormat/>
    <w:pPr>
      <w:snapToGrid w:val="0"/>
      <w:jc w:val="left"/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iPriority w:val="99"/>
    <w:unhideWhenUsed/>
    <w:qFormat/>
    <w:pPr>
      <w:snapToGrid w:val="0"/>
      <w:jc w:val="center"/>
      <w:pBdr>
        <w:bottom w:val="single" w:color="auto" w:sz="6" w:space="1"/>
      </w:pBdr>
      <w:tabs>
        <w:tab w:val="center" w:pos="4153"/>
        <w:tab w:val="right" w:pos="8306"/>
      </w:tabs>
    </w:pPr>
    <w:rPr>
      <w:sz w:val="18"/>
      <w:szCs w:val="18"/>
    </w:rPr>
  </w:style>
  <w:style w:type="table" w:styleId="6">
    <w:name w:val="Table Grid"/>
    <w:basedOn w:val="5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 w:customStyle="1">
    <w:name w:val="页眉 字符"/>
    <w:basedOn w:val="7"/>
    <w:link w:val="4"/>
    <w:uiPriority w:val="99"/>
    <w:qFormat/>
    <w:rPr>
      <w:sz w:val="18"/>
      <w:szCs w:val="18"/>
    </w:rPr>
  </w:style>
  <w:style w:type="character" w:styleId="9" w:customStyle="1">
    <w:name w:val="页脚 字符"/>
    <w:basedOn w:val="7"/>
    <w:link w:val="3"/>
    <w:uiPriority w:val="99"/>
    <w:qFormat/>
    <w:rPr>
      <w:sz w:val="18"/>
      <w:szCs w:val="18"/>
    </w:rPr>
  </w:style>
  <w:style w:type="character" w:styleId="10" w:customStyle="1">
    <w:name w:val="日期 字符"/>
    <w:basedOn w:val="7"/>
    <w:link w:val="2"/>
    <w:uiPriority w:val="99"/>
    <w:semiHidden/>
    <w:qFormat/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footer" Target="footer1.xml" /><Relationship Id="rId1" Type="http://schemas.openxmlformats.org/officeDocument/2006/relationships/settings" Target="settings.xml" /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"/>
        <a:ea typeface=""/>
        <a:cs typeface=""/>
        <a:font script="Hant" typeface="新細明體"/>
        <a:font script="Arab" typeface="Times New Roman"/>
        <a:font script="Knda" typeface="Tunga"/>
        <a:font script="Taml" typeface="Latha"/>
        <a:font script="Ethi" typeface="Nyala"/>
        <a:font script="Hans" typeface="等线 Light"/>
        <a:font script="Guru" typeface="Raavi"/>
        <a:font script="Yiii" typeface="Microsoft Yi Baiti"/>
        <a:font script="Thaa" typeface="MV Boli"/>
        <a:font script="Jpan" typeface="游ゴシック Light"/>
        <a:font script="Beng" typeface="Vrinda"/>
        <a:font script="Uigh" typeface="Microsoft Uighur"/>
        <a:font script="Thai" typeface="Angsana New"/>
        <a:font script="Gujr" typeface="Shruti"/>
        <a:font script="Syrc" typeface="Estrangelo Edessa"/>
        <a:font script="Khmr" typeface="MoolBoran"/>
        <a:font script="Cans" typeface="Euphemia"/>
        <a:font script="Orya" typeface="Kalinga"/>
        <a:font script="Deva" typeface="Mangal"/>
        <a:font script="Hang" typeface="맑은 고딕"/>
        <a:font script="Mong" typeface="Mongolian Baiti"/>
        <a:font script="Mlym" typeface="Kartika"/>
        <a:font script="Telu" typeface="Gautami"/>
        <a:font script="Cher" typeface="Plantagenet Cherokee"/>
        <a:font script="Hebr" typeface="Times New Roman"/>
        <a:font script="Sinh" typeface="Iskoola Pota"/>
        <a:font script="Geor" typeface="Sylfaen"/>
        <a:font script="Laoo" typeface="DokChampa"/>
        <a:font script="Tibt" typeface="Microsoft Himalaya"/>
        <a:font script="Viet" typeface="Times New Roman"/>
      </a:majorFont>
      <a:minorFont>
        <a:latin typeface="等线" panose=""/>
        <a:ea typeface=""/>
        <a:cs typeface=""/>
        <a:font script="Hant" typeface="新細明體"/>
        <a:font script="Arab" typeface="Arial"/>
        <a:font script="Knda" typeface="Tunga"/>
        <a:font script="Taml" typeface="Latha"/>
        <a:font script="Ethi" typeface="Nyala"/>
        <a:font script="Hans" typeface="等线"/>
        <a:font script="Guru" typeface="Raavi"/>
        <a:font script="Yiii" typeface="Microsoft Yi Baiti"/>
        <a:font script="Thaa" typeface="MV Boli"/>
        <a:font script="Jpan" typeface="游明朝"/>
        <a:font script="Beng" typeface="Vrinda"/>
        <a:font script="Uigh" typeface="Microsoft Uighur"/>
        <a:font script="Thai" typeface="Cordia New"/>
        <a:font script="Gujr" typeface="Shruti"/>
        <a:font script="Syrc" typeface="Estrangelo Edessa"/>
        <a:font script="Khmr" typeface="DaunPenh"/>
        <a:font script="Cans" typeface="Euphemia"/>
        <a:font script="Orya" typeface="Kalinga"/>
        <a:font script="Deva" typeface="Mangal"/>
        <a:font script="Hang" typeface="맑은 고딕"/>
        <a:font script="Mong" typeface="Mongolian Baiti"/>
        <a:font script="Mlym" typeface="Kartika"/>
        <a:font script="Telu" typeface="Gautami"/>
        <a:font script="Cher" typeface="Plantagenet Cherokee"/>
        <a:font script="Hebr" typeface="Arial"/>
        <a:font script="Sinh" typeface="Iskoola Pota"/>
        <a:font script="Geor" typeface="Sylfaen"/>
        <a:font script="Laoo" typeface="DokChampa"/>
        <a:font script="Tibt" typeface="Microsoft Himalaya"/>
        <a:font script="Viet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451</Characters>
  <Application>WPS Office_12.1.0.15712_F1E327BC-269C-435d-A152-05C5408002CA</Application>
  <DocSecurity>0</DocSecurity>
  <Lines>50</Lines>
  <Paragraphs>37</Paragraphs>
  <ScaleCrop>false</ScaleCrop>
  <Company/>
  <LinksUpToDate>false</LinksUpToDate>
  <CharactersWithSpaces>834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dcmitype="http://purl.org/dc/dcmitype/" xmlns:xsi="http://www.w3.org/2001/XMLSchema-instance">
  <dc:title/>
  <dc:subject/>
  <dc:creator>liu hao</dc:creator>
  <cp:keywords/>
  <dc:description/>
  <cp:lastModifiedBy>牟鑫悦</cp:lastModifiedBy>
  <cp:revision>19</cp:revision>
  <dcterms:created xsi:type="dcterms:W3CDTF">2022-06-28T09:01:00Z</dcterms:created>
  <dcterms:modified xsi:type="dcterms:W3CDTF">2024-06-09T04:31:19Z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765643DD5EA44B7E8E3CA2AE40ACDA56_13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北京林业大学学生社团指导教师评议表</w:t>
      </w:r>
    </w:p>
    <w:p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（学生负责人填写）</w:t>
      </w:r>
    </w:p>
    <w:tbl>
      <w:tblPr>
        <w:tblStyle w:val="6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1679"/>
        <w:gridCol w:w="644"/>
        <w:gridCol w:w="2409"/>
        <w:gridCol w:w="888"/>
        <w:gridCol w:w="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4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学生社团名称：</w:t>
            </w:r>
          </w:p>
        </w:tc>
        <w:tc>
          <w:tcPr>
            <w:tcW w:w="40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填表人：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442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学生社团指导教师：</w:t>
            </w:r>
          </w:p>
        </w:tc>
        <w:tc>
          <w:tcPr>
            <w:tcW w:w="4013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填表日期：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>一级指标</w:t>
            </w:r>
          </w:p>
        </w:tc>
        <w:tc>
          <w:tcPr>
            <w:tcW w:w="4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>二级指标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>评分</w:t>
            </w:r>
          </w:p>
        </w:tc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8"/>
              </w:rPr>
              <w:t>落实“三个一”卓越计划（20分）</w:t>
            </w:r>
          </w:p>
        </w:tc>
        <w:tc>
          <w:tcPr>
            <w:tcW w:w="4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  <w:t>指导学生社团制定并完成学年工作计划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8"/>
              </w:rPr>
              <w:t>10</w:t>
            </w:r>
          </w:p>
        </w:tc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</w:p>
        </w:tc>
        <w:tc>
          <w:tcPr>
            <w:tcW w:w="4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8"/>
              </w:rPr>
              <w:t>引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  <w:t>导学生社团开展至少一个特色鲜明的品牌活动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8"/>
              </w:rPr>
              <w:t>10</w:t>
            </w:r>
          </w:p>
        </w:tc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8"/>
              </w:rPr>
              <w:t>重视学生社团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8"/>
                <w:lang w:eastAsia="zh-CN"/>
              </w:rPr>
              <w:t>年度工作质量评比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8"/>
              </w:rPr>
              <w:t>（20分）</w:t>
            </w:r>
          </w:p>
        </w:tc>
        <w:tc>
          <w:tcPr>
            <w:tcW w:w="16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  <w:lang w:eastAsia="zh-CN"/>
              </w:rPr>
              <w:t>社团是否获得十佳社团</w:t>
            </w:r>
          </w:p>
        </w:tc>
        <w:tc>
          <w:tcPr>
            <w:tcW w:w="2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  <w:lang w:eastAsia="zh-CN"/>
              </w:rPr>
              <w:t>否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8"/>
              </w:rPr>
              <w:t>5</w:t>
            </w:r>
          </w:p>
        </w:tc>
        <w:tc>
          <w:tcPr>
            <w:tcW w:w="7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6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2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8"/>
                <w:lang w:eastAsia="zh-CN"/>
              </w:rPr>
              <w:t>是</w:t>
            </w:r>
          </w:p>
        </w:tc>
        <w:tc>
          <w:tcPr>
            <w:tcW w:w="86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8"/>
              </w:rPr>
              <w:t>10</w:t>
            </w:r>
          </w:p>
        </w:tc>
        <w:tc>
          <w:tcPr>
            <w:tcW w:w="7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</w:p>
        </w:tc>
        <w:tc>
          <w:tcPr>
            <w:tcW w:w="4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8"/>
                <w:lang w:eastAsia="zh-CN"/>
              </w:rPr>
              <w:t>社团正常参与年度十佳社团评选活动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8"/>
              </w:rPr>
              <w:t>10</w:t>
            </w:r>
          </w:p>
        </w:tc>
        <w:tc>
          <w:tcPr>
            <w:tcW w:w="79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21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8"/>
              </w:rPr>
              <w:t>严管学生社团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8"/>
              </w:rPr>
              <w:t>活动和财务审批（1</w:t>
            </w:r>
            <w:r>
              <w:rPr>
                <w:rFonts w:ascii="仿宋_GB2312" w:hAnsi="仿宋_GB2312" w:eastAsia="仿宋_GB2312" w:cs="仿宋_GB2312"/>
                <w:b/>
                <w:kern w:val="0"/>
                <w:sz w:val="24"/>
                <w:szCs w:val="28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8"/>
              </w:rPr>
              <w:t>分）</w:t>
            </w:r>
          </w:p>
        </w:tc>
        <w:tc>
          <w:tcPr>
            <w:tcW w:w="461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  <w:t>了解学生社团活动情况，并在相应审批表上申请签字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8"/>
              </w:rPr>
              <w:t>5</w:t>
            </w:r>
          </w:p>
        </w:tc>
        <w:tc>
          <w:tcPr>
            <w:tcW w:w="79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8"/>
              </w:rPr>
            </w:pPr>
          </w:p>
        </w:tc>
        <w:tc>
          <w:tcPr>
            <w:tcW w:w="461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  <w:t>询问知晓学生社团对外交流和财务使用情况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  <w:t>10</w:t>
            </w:r>
          </w:p>
        </w:tc>
        <w:tc>
          <w:tcPr>
            <w:tcW w:w="79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21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8"/>
              </w:rPr>
              <w:t>加强学生社团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8"/>
              </w:rPr>
              <w:t>团支部建设（1</w:t>
            </w:r>
            <w:r>
              <w:rPr>
                <w:rFonts w:ascii="仿宋_GB2312" w:hAnsi="仿宋_GB2312" w:eastAsia="仿宋_GB2312" w:cs="仿宋_GB2312"/>
                <w:b/>
                <w:kern w:val="0"/>
                <w:sz w:val="24"/>
                <w:szCs w:val="28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8"/>
              </w:rPr>
              <w:t>分）</w:t>
            </w:r>
          </w:p>
        </w:tc>
        <w:tc>
          <w:tcPr>
            <w:tcW w:w="4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  <w:t>团支部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  <w:lang w:eastAsia="zh-CN"/>
              </w:rPr>
              <w:t>具有明确的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  <w:t>团务管理、组织建设和制度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8"/>
              </w:rPr>
              <w:t>5</w:t>
            </w:r>
          </w:p>
        </w:tc>
        <w:tc>
          <w:tcPr>
            <w:tcW w:w="79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8"/>
              </w:rPr>
            </w:pPr>
          </w:p>
        </w:tc>
        <w:tc>
          <w:tcPr>
            <w:tcW w:w="4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  <w:t>指导学生社团团支部坚持以思想引领为核心，积极参加学生社团团支部会议，参与活力团支部创建评审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  <w:t>10</w:t>
            </w:r>
          </w:p>
        </w:tc>
        <w:tc>
          <w:tcPr>
            <w:tcW w:w="79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21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8"/>
              </w:rPr>
              <w:t>做好学生社团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8"/>
              </w:rPr>
              <w:t>骨干培养及换届工作（10分）</w:t>
            </w:r>
          </w:p>
        </w:tc>
        <w:tc>
          <w:tcPr>
            <w:tcW w:w="16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  <w:t>定期与学生社团骨干座谈，关心学生骨干学习生活状态</w:t>
            </w:r>
          </w:p>
        </w:tc>
        <w:tc>
          <w:tcPr>
            <w:tcW w:w="2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  <w:t>每学期两次以下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8"/>
              </w:rPr>
              <w:t>3</w:t>
            </w:r>
          </w:p>
        </w:tc>
        <w:tc>
          <w:tcPr>
            <w:tcW w:w="79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6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2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  <w:t>每学期两次及以上</w:t>
            </w:r>
          </w:p>
        </w:tc>
        <w:tc>
          <w:tcPr>
            <w:tcW w:w="86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8"/>
              </w:rPr>
              <w:t>5</w:t>
            </w:r>
          </w:p>
        </w:tc>
        <w:tc>
          <w:tcPr>
            <w:tcW w:w="7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1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8"/>
              </w:rPr>
            </w:pPr>
          </w:p>
        </w:tc>
        <w:tc>
          <w:tcPr>
            <w:tcW w:w="4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  <w:t>指导并参与学生社团换届工作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8"/>
              </w:rPr>
              <w:t>5</w:t>
            </w:r>
          </w:p>
        </w:tc>
        <w:tc>
          <w:tcPr>
            <w:tcW w:w="79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1" w:hRule="exact"/>
          <w:jc w:val="center"/>
        </w:trPr>
        <w:tc>
          <w:tcPr>
            <w:tcW w:w="21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8"/>
              </w:rPr>
              <w:t>鼓励学生社团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8"/>
              </w:rPr>
              <w:t>积极参与争先创优活动（10分）</w:t>
            </w:r>
          </w:p>
        </w:tc>
        <w:tc>
          <w:tcPr>
            <w:tcW w:w="16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  <w:t>鼓励并支持学生社团参加学校组织的大型活动（例如校园吉尼斯、十佳学生社团评选等）</w:t>
            </w:r>
          </w:p>
        </w:tc>
        <w:tc>
          <w:tcPr>
            <w:tcW w:w="2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  <w:t>参加3次及以上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8"/>
              </w:rPr>
              <w:t>10</w:t>
            </w:r>
          </w:p>
        </w:tc>
        <w:tc>
          <w:tcPr>
            <w:tcW w:w="79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2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  <w:t>参加1-2次</w:t>
            </w:r>
          </w:p>
        </w:tc>
        <w:tc>
          <w:tcPr>
            <w:tcW w:w="86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8"/>
              </w:rPr>
              <w:t>5</w:t>
            </w:r>
          </w:p>
        </w:tc>
        <w:tc>
          <w:tcPr>
            <w:tcW w:w="7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6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  <w:t>参加0次</w:t>
            </w:r>
          </w:p>
        </w:tc>
        <w:tc>
          <w:tcPr>
            <w:tcW w:w="86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  <w:t>0</w:t>
            </w:r>
          </w:p>
        </w:tc>
        <w:tc>
          <w:tcPr>
            <w:tcW w:w="7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exact"/>
          <w:jc w:val="center"/>
        </w:trPr>
        <w:tc>
          <w:tcPr>
            <w:tcW w:w="216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8"/>
              </w:rPr>
              <w:t>社团骨干、成员方面（10分）</w:t>
            </w:r>
          </w:p>
        </w:tc>
        <w:tc>
          <w:tcPr>
            <w:tcW w:w="163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  <w:t>通过问卷调查，学生社团骨干、成员对指导教师满意度（调查范围不少于三分之一社团成员人数并留有问卷、聊天等相关证明截图）</w:t>
            </w:r>
          </w:p>
        </w:tc>
        <w:tc>
          <w:tcPr>
            <w:tcW w:w="2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  <w:t>80%及以上人员满意</w:t>
            </w:r>
          </w:p>
        </w:tc>
        <w:tc>
          <w:tcPr>
            <w:tcW w:w="86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  <w:t>10</w:t>
            </w:r>
          </w:p>
        </w:tc>
        <w:tc>
          <w:tcPr>
            <w:tcW w:w="79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21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  <w:szCs w:val="28"/>
              </w:rPr>
            </w:pPr>
          </w:p>
        </w:tc>
        <w:tc>
          <w:tcPr>
            <w:tcW w:w="1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  <w:t>80-60%人员满意</w:t>
            </w:r>
          </w:p>
        </w:tc>
        <w:tc>
          <w:tcPr>
            <w:tcW w:w="86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  <w:t>5</w:t>
            </w:r>
          </w:p>
        </w:tc>
        <w:tc>
          <w:tcPr>
            <w:tcW w:w="7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exact"/>
          <w:jc w:val="center"/>
        </w:trPr>
        <w:tc>
          <w:tcPr>
            <w:tcW w:w="21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  <w:szCs w:val="28"/>
              </w:rPr>
            </w:pPr>
          </w:p>
        </w:tc>
        <w:tc>
          <w:tcPr>
            <w:tcW w:w="16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  <w:t>60%以下人员满意</w:t>
            </w:r>
          </w:p>
        </w:tc>
        <w:tc>
          <w:tcPr>
            <w:tcW w:w="86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  <w:t>0</w:t>
            </w:r>
          </w:p>
        </w:tc>
        <w:tc>
          <w:tcPr>
            <w:tcW w:w="7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8"/>
              </w:rPr>
              <w:t>总  分</w:t>
            </w:r>
          </w:p>
        </w:tc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9" w:hRule="exact"/>
          <w:jc w:val="center"/>
        </w:trPr>
        <w:tc>
          <w:tcPr>
            <w:tcW w:w="84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8"/>
              </w:rPr>
              <w:t>社团负责人、骨干与成员对指导教师的意见与建议：</w:t>
            </w:r>
          </w:p>
        </w:tc>
      </w:tr>
    </w:tbl>
    <w:p>
      <w:pPr>
        <w:adjustRightInd w:val="0"/>
        <w:snapToGrid w:val="0"/>
        <w:ind w:firstLine="480" w:firstLineChars="20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注：学生社团负责人于</w:t>
      </w:r>
      <w:r>
        <w:rPr>
          <w:rFonts w:ascii="仿宋_GB2312" w:hAnsi="仿宋_GB2312" w:eastAsia="仿宋_GB2312" w:cs="仿宋_GB2312"/>
          <w:sz w:val="24"/>
          <w:szCs w:val="24"/>
        </w:rPr>
        <w:t>6月2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</w:t>
      </w:r>
      <w:r>
        <w:rPr>
          <w:rFonts w:ascii="仿宋_GB2312" w:hAnsi="仿宋_GB2312" w:eastAsia="仿宋_GB2312" w:cs="仿宋_GB2312"/>
          <w:sz w:val="24"/>
          <w:szCs w:val="24"/>
        </w:rPr>
        <w:t>日（周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五</w:t>
      </w:r>
      <w:bookmarkStart w:id="0" w:name="_GoBack"/>
      <w:bookmarkEnd w:id="0"/>
      <w:r>
        <w:rPr>
          <w:rFonts w:ascii="仿宋_GB2312" w:hAnsi="仿宋_GB2312" w:eastAsia="仿宋_GB2312" w:cs="仿宋_GB2312"/>
          <w:sz w:val="24"/>
          <w:szCs w:val="24"/>
        </w:rPr>
        <w:t>）前提交《北京林业大学学生社团指导教师评议表》（附件2）至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kaopeizx</w:t>
      </w:r>
      <w:r>
        <w:rPr>
          <w:rFonts w:ascii="仿宋_GB2312" w:hAnsi="仿宋_GB2312" w:eastAsia="仿宋_GB2312" w:cs="仿宋_GB2312"/>
          <w:sz w:val="24"/>
          <w:szCs w:val="24"/>
        </w:rPr>
        <w:t>@1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26</w:t>
      </w:r>
      <w:r>
        <w:rPr>
          <w:rFonts w:ascii="仿宋_GB2312" w:hAnsi="仿宋_GB2312" w:eastAsia="仿宋_GB2312" w:cs="仿宋_GB2312"/>
          <w:sz w:val="24"/>
          <w:szCs w:val="24"/>
        </w:rPr>
        <w:t>.com（命名“指导教师考核+社团名称+学生负责人”）。</w:t>
      </w:r>
    </w:p>
    <w:sectPr>
      <w:footerReference r:id="rId3" w:type="default"/>
      <w:pgSz w:w="11906" w:h="16838"/>
      <w:pgMar w:top="1531" w:right="1474" w:bottom="1587" w:left="1984" w:header="851" w:footer="992" w:gutter="0"/>
      <w:cols w:space="425" w:num="1"/>
      <w:docGrid w:type="lines" w:linePitch="312" w:charSpace="0"/>
    </w:sectPr>
  </w:body>
</w:document>
</file>

<file path=tbak/document1.xml><?xml version="1.0" encoding="utf-8"?>
<w:document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>
      <w:pPr>
        <w:adjustRightInd w:val="0"/>
        <w:snapToGrid w:val="0"/>
        <w:rPr>
          <w:sz w:val="32"/>
          <w:szCs w:val="32"/>
          <w:rFonts w:ascii="仿宋_GB2312" w:hAnsi="仿宋_GB2312" w:eastAsia="仿宋_GB2312" w:cs="仿宋_GB2312"/>
        </w:rPr>
      </w:pPr>
      <w:r>
        <w:rPr>
          <w:sz w:val="32"/>
          <w:szCs w:val="32"/>
          <w:rFonts w:ascii="仿宋_GB2312" w:hAnsi="仿宋_GB2312" w:eastAsia="仿宋_GB2312" w:cs="仿宋_GB2312" w:hint="eastAsia"/>
        </w:rPr>
        <w:t>附件2</w:t>
      </w:r>
    </w:p>
    <w:p>
      <w:pPr>
        <w:adjustRightInd w:val="0"/>
        <w:snapToGrid w:val="0"/>
        <w:jc w:val="center"/>
        <w:rPr>
          <w:sz w:val="44"/>
          <w:szCs w:val="44"/>
          <w:rFonts w:ascii="方正小标宋简体" w:hAnsi="方正小标宋简体" w:eastAsia="方正小标宋简体" w:cs="方正小标宋简体"/>
        </w:rPr>
      </w:pPr>
      <w:r>
        <w:rPr>
          <w:sz w:val="44"/>
          <w:szCs w:val="44"/>
          <w:rFonts w:ascii="方正小标宋简体" w:hAnsi="方正小标宋简体" w:eastAsia="方正小标宋简体" w:cs="方正小标宋简体" w:hint="eastAsia"/>
        </w:rPr>
        <w:t>北京林业大学学生社团指导教师评议表</w:t>
      </w:r>
    </w:p>
    <w:p>
      <w:pPr>
        <w:adjustRightInd w:val="0"/>
        <w:snapToGrid w:val="0"/>
        <w:jc w:val="center"/>
        <w:rPr>
          <w:sz w:val="44"/>
          <w:szCs w:val="44"/>
          <w:rFonts w:ascii="方正小标宋简体" w:hAnsi="方正小标宋简体" w:eastAsia="方正小标宋简体" w:cs="方正小标宋简体"/>
        </w:rPr>
      </w:pPr>
      <w:r>
        <w:rPr>
          <w:sz w:val="44"/>
          <w:szCs w:val="44"/>
          <w:rFonts w:ascii="方正小标宋简体" w:hAnsi="方正小标宋简体" w:eastAsia="方正小标宋简体" w:cs="方正小标宋简体" w:hint="eastAsia"/>
        </w:rPr>
        <w:t>（学生负责人填写）</w:t>
      </w:r>
    </w:p>
    <w:tbl>
      <w:tblPr>
        <w:tblStyle w:val="6"/>
        <w:tblW w:w="4996" w:type="pct"/>
        <w:jc w:val="center"/>
        <w:tblLayout w:type="fixe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2218.000000"/>
        <w:gridCol w:w="1679.000000"/>
        <w:gridCol w:w="644.000000"/>
        <w:gridCol w:w="2409.000000"/>
        <w:gridCol w:w="888.000000"/>
        <w:gridCol w:w="819.000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290" w:hRule="atLeast"/>
          <w:jc w:val="center"/>
        </w:trPr>
        <w:tc>
          <w:tcPr>
            <w:tcW w:w="44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jc w:val="left"/>
              <w:rPr>
                <w:sz w:val="24"/>
                <w:szCs w:val="30"/>
                <w:rFonts w:ascii="仿宋_GB2312" w:hAnsi="仿宋_GB2312" w:eastAsia="仿宋_GB2312" w:cs="仿宋_GB2312"/>
              </w:rPr>
            </w:pPr>
            <w:r>
              <w:rPr>
                <w:sz w:val="24"/>
                <w:szCs w:val="30"/>
                <w:rFonts w:ascii="仿宋_GB2312" w:hAnsi="仿宋_GB2312" w:eastAsia="仿宋_GB2312" w:cs="仿宋_GB2312" w:hint="eastAsia"/>
              </w:rPr>
              <w:t>学生社团名称：</w:t>
            </w:r>
          </w:p>
        </w:tc>
        <w:tc>
          <w:tcPr>
            <w:tcW w:w="40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jc w:val="left"/>
              <w:rPr>
                <w:sz w:val="24"/>
                <w:szCs w:val="30"/>
                <w:rFonts w:ascii="仿宋_GB2312" w:hAnsi="仿宋_GB2312" w:eastAsia="仿宋_GB2312" w:cs="仿宋_GB2312"/>
              </w:rPr>
            </w:pPr>
            <w:r>
              <w:rPr>
                <w:sz w:val="24"/>
                <w:szCs w:val="30"/>
                <w:rFonts w:ascii="仿宋_GB2312" w:hAnsi="仿宋_GB2312" w:eastAsia="仿宋_GB2312" w:cs="仿宋_GB2312" w:hint="eastAsia"/>
              </w:rPr>
              <w:t>填表人：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215" w:hRule="atLeast"/>
          <w:jc w:val="center"/>
        </w:trPr>
        <w:tc>
          <w:tcPr>
            <w:tcW w:w="442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djustRightInd w:val="0"/>
              <w:snapToGrid w:val="0"/>
              <w:jc w:val="left"/>
              <w:rPr>
                <w:sz w:val="24"/>
                <w:szCs w:val="30"/>
                <w:rFonts w:ascii="仿宋_GB2312" w:hAnsi="仿宋_GB2312" w:eastAsia="仿宋_GB2312" w:cs="仿宋_GB2312"/>
              </w:rPr>
            </w:pPr>
            <w:r>
              <w:rPr>
                <w:sz w:val="24"/>
                <w:szCs w:val="30"/>
                <w:rFonts w:ascii="仿宋_GB2312" w:hAnsi="仿宋_GB2312" w:eastAsia="仿宋_GB2312" w:cs="仿宋_GB2312" w:hint="eastAsia"/>
              </w:rPr>
              <w:t>学生社团指导教师：</w:t>
            </w:r>
          </w:p>
        </w:tc>
        <w:tc>
          <w:tcPr>
            <w:tcW w:w="4013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djustRightInd w:val="0"/>
              <w:snapToGrid w:val="0"/>
              <w:jc w:val="left"/>
              <w:rPr>
                <w:sz w:val="24"/>
                <w:szCs w:val="30"/>
                <w:rFonts w:ascii="仿宋_GB2312" w:hAnsi="仿宋_GB2312" w:eastAsia="仿宋_GB2312" w:cs="仿宋_GB2312"/>
              </w:rPr>
            </w:pPr>
            <w:r>
              <w:rPr>
                <w:sz w:val="24"/>
                <w:szCs w:val="30"/>
                <w:rFonts w:ascii="仿宋_GB2312" w:hAnsi="仿宋_GB2312" w:eastAsia="仿宋_GB2312" w:cs="仿宋_GB2312" w:hint="eastAsia"/>
              </w:rPr>
              <w:t>填表日期：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665" w:hRule="atLeast"/>
          <w:jc w:val="center"/>
        </w:trPr>
        <w:tc>
          <w:tcPr>
            <w:tcW w:w="2162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bCs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bCs/>
                <w:kern w:val="0"/>
                <w:szCs w:val="28"/>
                <w:rFonts w:ascii="仿宋_GB2312" w:hAnsi="仿宋_GB2312" w:eastAsia="仿宋_GB2312" w:cs="仿宋_GB2312" w:hint="eastAsia"/>
              </w:rPr>
              <w:t>一级指标</w:t>
            </w:r>
          </w:p>
        </w:tc>
        <w:tc>
          <w:tcPr>
            <w:tcW w:w="4614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bCs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bCs/>
                <w:kern w:val="0"/>
                <w:szCs w:val="28"/>
                <w:rFonts w:ascii="仿宋_GB2312" w:hAnsi="仿宋_GB2312" w:eastAsia="仿宋_GB2312" w:cs="仿宋_GB2312" w:hint="eastAsia"/>
              </w:rPr>
              <w:t>二级指标</w:t>
            </w:r>
          </w:p>
        </w:tc>
        <w:tc>
          <w:tcPr>
            <w:tcW w:w="86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bCs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bCs/>
                <w:kern w:val="0"/>
                <w:szCs w:val="28"/>
                <w:rFonts w:ascii="仿宋_GB2312" w:hAnsi="仿宋_GB2312" w:eastAsia="仿宋_GB2312" w:cs="仿宋_GB2312" w:hint="eastAsia"/>
              </w:rPr>
              <w:t>评分</w:t>
            </w:r>
          </w:p>
        </w:tc>
        <w:tc>
          <w:tcPr>
            <w:tcW w:w="799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bCs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bCs/>
                <w:kern w:val="0"/>
                <w:szCs w:val="28"/>
                <w:rFonts w:ascii="仿宋_GB2312" w:hAnsi="仿宋_GB2312" w:eastAsia="仿宋_GB2312" w:cs="仿宋_GB2312"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67" w:hRule="atLeast"/>
          <w:jc w:val="center"/>
        </w:trPr>
        <w:tc>
          <w:tcPr>
            <w:tcW w:w="2162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落实“三个一”卓越计划（20分）</w:t>
            </w:r>
          </w:p>
        </w:tc>
        <w:tc>
          <w:tcPr>
            <w:tcW w:w="4614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指导学生社团制定并完成学年工作计划</w:t>
            </w:r>
          </w:p>
        </w:tc>
        <w:tc>
          <w:tcPr>
            <w:tcW w:w="86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10</w:t>
            </w:r>
          </w:p>
        </w:tc>
        <w:tc>
          <w:tcPr>
            <w:tcW w:w="799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67" w:hRule="atLeast"/>
          <w:jc w:val="center"/>
        </w:trPr>
        <w:tc>
          <w:tcPr>
            <w:tcW w:w="2162" w:type="dxa"/>
            <w:vMerge w:val="continue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4614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长期指导</w:t>
            </w: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学生社团开展至少一个特色鲜明的品牌活动</w:t>
            </w:r>
          </w:p>
        </w:tc>
        <w:tc>
          <w:tcPr>
            <w:tcW w:w="86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10</w:t>
            </w:r>
          </w:p>
        </w:tc>
        <w:tc>
          <w:tcPr>
            <w:tcW w:w="799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67" w:hRule="atLeast"/>
          <w:jc w:val="center"/>
        </w:trPr>
        <w:tc>
          <w:tcPr>
            <w:tcW w:w="2162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重视学生社团</w:t>
            </w:r>
          </w:p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lang w:eastAsia="zh-CN"/>
                <w:kern w:val="0"/>
                <w:szCs w:val="28"/>
                <w:rFonts w:ascii="仿宋_GB2312" w:hAnsi="仿宋_GB2312" w:eastAsia="仿宋_GB2312" w:cs="仿宋_GB2312" w:hint="eastAsia"/>
              </w:rPr>
              <w:t>年度工作质量评比</w:t>
            </w: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（20分）</w:t>
            </w:r>
          </w:p>
        </w:tc>
        <w:tc>
          <w:tcPr>
            <w:tcW w:w="1638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lang w:eastAsia="zh-CN"/>
                <w:kern w:val="0"/>
                <w:szCs w:val="28"/>
                <w:rFonts w:ascii="仿宋_GB2312" w:hAnsi="仿宋_GB2312" w:eastAsia="仿宋_GB2312" w:cs="仿宋_GB2312" w:hint="eastAsia"/>
              </w:rPr>
            </w:pPr>
            <w:r>
              <w:rPr>
                <w:color w:val="000000"/>
                <w:sz w:val="24"/>
                <w:lang w:eastAsia="zh-CN"/>
                <w:kern w:val="0"/>
                <w:szCs w:val="28"/>
                <w:rFonts w:ascii="仿宋_GB2312" w:hAnsi="仿宋_GB2312" w:eastAsia="仿宋_GB2312" w:cs="仿宋_GB2312" w:hint="eastAsia"/>
              </w:rPr>
              <w:t>社团是否获得十佳社团</w:t>
            </w:r>
          </w:p>
        </w:tc>
        <w:tc>
          <w:tcPr>
            <w:tcW w:w="297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lang w:eastAsia="zh-CN"/>
                <w:kern w:val="0"/>
                <w:szCs w:val="28"/>
                <w:rFonts w:ascii="仿宋_GB2312" w:hAnsi="仿宋_GB2312" w:eastAsia="仿宋_GB2312" w:cs="仿宋_GB2312" w:hint="eastAsia"/>
              </w:rPr>
            </w:pPr>
            <w:r>
              <w:rPr>
                <w:color w:val="000000"/>
                <w:sz w:val="24"/>
                <w:lang w:eastAsia="zh-CN"/>
                <w:kern w:val="0"/>
                <w:szCs w:val="28"/>
                <w:rFonts w:ascii="仿宋_GB2312" w:hAnsi="仿宋_GB2312" w:eastAsia="仿宋_GB2312" w:cs="仿宋_GB2312" w:hint="eastAsia"/>
              </w:rPr>
              <w:t>否</w:t>
            </w:r>
          </w:p>
        </w:tc>
        <w:tc>
          <w:tcPr>
            <w:tcW w:w="866" w:type="dxa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5</w:t>
            </w:r>
          </w:p>
        </w:tc>
        <w:tc>
          <w:tcPr>
            <w:tcW w:w="799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67" w:hRule="atLeast"/>
          <w:jc w:val="center"/>
        </w:trPr>
        <w:tc>
          <w:tcPr>
            <w:tcW w:w="2162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1638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297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lang w:eastAsia="zh-CN"/>
                <w:kern w:val="0"/>
                <w:szCs w:val="28"/>
                <w:rFonts w:ascii="仿宋_GB2312" w:hAnsi="仿宋_GB2312" w:eastAsia="仿宋_GB2312" w:cs="仿宋_GB2312" w:hint="eastAsia"/>
              </w:rPr>
            </w:pPr>
            <w:r>
              <w:rPr>
                <w:sz w:val="24"/>
                <w:lang w:eastAsia="zh-CN"/>
                <w:kern w:val="0"/>
                <w:szCs w:val="28"/>
                <w:rFonts w:ascii="仿宋_GB2312" w:hAnsi="仿宋_GB2312" w:eastAsia="仿宋_GB2312" w:cs="仿宋_GB2312" w:hint="eastAsia"/>
              </w:rPr>
              <w:t>是</w:t>
            </w:r>
          </w:p>
        </w:tc>
        <w:tc>
          <w:tcPr>
            <w:tcW w:w="866" w:type="dxa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10</w:t>
            </w:r>
          </w:p>
        </w:tc>
        <w:tc>
          <w:tcPr>
            <w:tcW w:w="799" w:type="dxa"/>
            <w:vMerge w:val="continue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67" w:hRule="atLeast"/>
          <w:jc w:val="center"/>
        </w:trPr>
        <w:tc>
          <w:tcPr>
            <w:tcW w:w="2162" w:type="dxa"/>
            <w:vMerge w:val="continue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4614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lang w:eastAsia="zh-CN"/>
                <w:kern w:val="0"/>
                <w:szCs w:val="28"/>
                <w:rFonts w:ascii="仿宋_GB2312" w:hAnsi="仿宋_GB2312" w:eastAsia="仿宋_GB2312" w:cs="仿宋_GB2312" w:hint="eastAsia"/>
              </w:rPr>
            </w:pPr>
            <w:r>
              <w:rPr>
                <w:sz w:val="24"/>
                <w:lang w:eastAsia="zh-CN"/>
                <w:kern w:val="0"/>
                <w:szCs w:val="28"/>
                <w:rFonts w:ascii="仿宋_GB2312" w:hAnsi="仿宋_GB2312" w:eastAsia="仿宋_GB2312" w:cs="仿宋_GB2312" w:hint="eastAsia"/>
              </w:rPr>
              <w:t>社团正常参与年度十佳社团评选活动</w:t>
            </w:r>
          </w:p>
        </w:tc>
        <w:tc>
          <w:tcPr>
            <w:tcW w:w="86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10</w:t>
            </w:r>
          </w:p>
        </w:tc>
        <w:tc>
          <w:tcPr>
            <w:tcW w:w="799" w:type="dxa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873" w:hRule="atLeast"/>
          <w:jc w:val="center"/>
        </w:trPr>
        <w:tc>
          <w:tcPr>
            <w:tcW w:w="2162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严管学生社团</w:t>
            </w:r>
          </w:p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活动和财务审批（1</w:t>
            </w: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  <w:t>5</w:t>
            </w: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分）</w:t>
            </w:r>
          </w:p>
        </w:tc>
        <w:tc>
          <w:tcPr>
            <w:tcW w:w="4614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了解学生社团所有活动情况，并审批</w:t>
            </w:r>
          </w:p>
        </w:tc>
        <w:tc>
          <w:tcPr>
            <w:tcW w:w="866" w:type="dxa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5</w:t>
            </w:r>
          </w:p>
        </w:tc>
        <w:tc>
          <w:tcPr>
            <w:tcW w:w="799" w:type="dxa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67" w:hRule="atLeast"/>
          <w:jc w:val="center"/>
        </w:trPr>
        <w:tc>
          <w:tcPr>
            <w:tcW w:w="2162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b w:val="1"/>
                <w:sz w:val="24"/>
                <w:bCs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4614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知晓学生社团对外交流和财务使用情况</w:t>
            </w:r>
          </w:p>
        </w:tc>
        <w:tc>
          <w:tcPr>
            <w:tcW w:w="866" w:type="dxa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  <w:t>10</w:t>
            </w:r>
          </w:p>
        </w:tc>
        <w:tc>
          <w:tcPr>
            <w:tcW w:w="799" w:type="dxa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942" w:hRule="atLeast"/>
          <w:jc w:val="center"/>
        </w:trPr>
        <w:tc>
          <w:tcPr>
            <w:tcW w:w="2162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加强学生社团</w:t>
            </w:r>
          </w:p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团支部建设（1</w:t>
            </w: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  <w:t>5</w:t>
            </w: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分）</w:t>
            </w:r>
          </w:p>
        </w:tc>
        <w:tc>
          <w:tcPr>
            <w:tcW w:w="4614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团支部</w:t>
            </w:r>
            <w:r>
              <w:rPr>
                <w:color w:val="000000"/>
                <w:sz w:val="24"/>
                <w:lang w:eastAsia="zh-CN"/>
                <w:kern w:val="0"/>
                <w:szCs w:val="28"/>
                <w:rFonts w:ascii="仿宋_GB2312" w:hAnsi="仿宋_GB2312" w:eastAsia="仿宋_GB2312" w:cs="仿宋_GB2312" w:hint="eastAsia"/>
              </w:rPr>
              <w:t>具有明确的</w:t>
            </w: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团务管理、组织建设和制度</w:t>
            </w:r>
          </w:p>
        </w:tc>
        <w:tc>
          <w:tcPr>
            <w:tcW w:w="86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5</w:t>
            </w:r>
          </w:p>
        </w:tc>
        <w:tc>
          <w:tcPr>
            <w:tcW w:w="799" w:type="dxa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67" w:hRule="atLeast"/>
          <w:jc w:val="center"/>
        </w:trPr>
        <w:tc>
          <w:tcPr>
            <w:tcW w:w="2162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b w:val="1"/>
                <w:sz w:val="24"/>
                <w:bCs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4614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指导学生社团团支部坚持以思想引领为核心，参加学生社团团支部会议，参与活力团支部创建评审</w:t>
            </w:r>
          </w:p>
        </w:tc>
        <w:tc>
          <w:tcPr>
            <w:tcW w:w="86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  <w:t>10</w:t>
            </w:r>
          </w:p>
        </w:tc>
        <w:tc>
          <w:tcPr>
            <w:tcW w:w="799" w:type="dxa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999" w:hRule="atLeast"/>
          <w:jc w:val="center"/>
        </w:trPr>
        <w:tc>
          <w:tcPr>
            <w:tcW w:w="2162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做好学生社团</w:t>
            </w:r>
          </w:p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骨干培养及换届工作（10分）</w:t>
            </w:r>
          </w:p>
        </w:tc>
        <w:tc>
          <w:tcPr>
            <w:tcW w:w="1638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定期与学生社团骨干座谈，关心学生骨干学习生活状态</w:t>
            </w:r>
          </w:p>
        </w:tc>
        <w:tc>
          <w:tcPr>
            <w:tcW w:w="297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每学期两次以下</w:t>
            </w:r>
          </w:p>
        </w:tc>
        <w:tc>
          <w:tcPr>
            <w:tcW w:w="866" w:type="dxa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3</w:t>
            </w:r>
          </w:p>
        </w:tc>
        <w:tc>
          <w:tcPr>
            <w:tcW w:w="799" w:type="dxa"/>
            <w:vMerge w:val="restart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60" w:hRule="atLeast"/>
          <w:jc w:val="center"/>
        </w:trPr>
        <w:tc>
          <w:tcPr>
            <w:tcW w:w="2162" w:type="dxa"/>
            <w:vMerge w:val="continue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1638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297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每学期两次及以上</w:t>
            </w:r>
          </w:p>
        </w:tc>
        <w:tc>
          <w:tcPr>
            <w:tcW w:w="866" w:type="dxa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5</w:t>
            </w:r>
          </w:p>
        </w:tc>
        <w:tc>
          <w:tcPr>
            <w:tcW w:w="799" w:type="dxa"/>
            <w:vMerge w:val="continue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720" w:hRule="atLeast"/>
          <w:jc w:val="center"/>
        </w:trPr>
        <w:tc>
          <w:tcPr>
            <w:tcW w:w="2162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b w:val="1"/>
                <w:sz w:val="24"/>
                <w:bCs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4614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指导并参与学生社团换届工作</w:t>
            </w:r>
          </w:p>
        </w:tc>
        <w:tc>
          <w:tcPr>
            <w:tcW w:w="86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5</w:t>
            </w:r>
          </w:p>
        </w:tc>
        <w:tc>
          <w:tcPr>
            <w:tcW w:w="799" w:type="dxa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2031" w:hRule="exact"/>
          <w:jc w:val="center"/>
        </w:trPr>
        <w:tc>
          <w:tcPr>
            <w:tcW w:w="2162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鼓励学生社团</w:t>
            </w:r>
          </w:p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积极参与争先创优活动（10分）</w:t>
            </w:r>
          </w:p>
        </w:tc>
        <w:tc>
          <w:tcPr>
            <w:tcW w:w="1638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指导并支持学生社团参加学校组织的大型活动（例如校园吉尼斯、十佳学生社团评选等）</w:t>
            </w:r>
          </w:p>
        </w:tc>
        <w:tc>
          <w:tcPr>
            <w:tcW w:w="297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参加3次及以上</w:t>
            </w:r>
          </w:p>
        </w:tc>
        <w:tc>
          <w:tcPr>
            <w:tcW w:w="866" w:type="dxa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10</w:t>
            </w:r>
          </w:p>
        </w:tc>
        <w:tc>
          <w:tcPr>
            <w:tcW w:w="799" w:type="dxa"/>
            <w:vMerge w:val="restart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67" w:hRule="exact"/>
          <w:jc w:val="center"/>
        </w:trPr>
        <w:tc>
          <w:tcPr>
            <w:tcW w:w="2162" w:type="dxa"/>
            <w:vMerge w:val="continue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1638" w:type="dxa"/>
            <w:vMerge w:val="continue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297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参加1-2次</w:t>
            </w:r>
          </w:p>
        </w:tc>
        <w:tc>
          <w:tcPr>
            <w:tcW w:w="866" w:type="dxa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5</w:t>
            </w:r>
          </w:p>
        </w:tc>
        <w:tc>
          <w:tcPr>
            <w:tcW w:w="799" w:type="dxa"/>
            <w:vMerge w:val="continue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67" w:hRule="exact"/>
          <w:jc w:val="center"/>
        </w:trPr>
        <w:tc>
          <w:tcPr>
            <w:tcW w:w="2162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1638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297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参加0次</w:t>
            </w:r>
          </w:p>
        </w:tc>
        <w:tc>
          <w:tcPr>
            <w:tcW w:w="866" w:type="dxa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0</w:t>
            </w:r>
          </w:p>
        </w:tc>
        <w:tc>
          <w:tcPr>
            <w:tcW w:w="799" w:type="dxa"/>
            <w:vMerge w:val="continue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852" w:hRule="exact"/>
          <w:jc w:val="center"/>
        </w:trPr>
        <w:tc>
          <w:tcPr>
            <w:tcW w:w="2162" w:type="dxa"/>
            <w:vMerge w:val="restart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社团骨干、成员方面（10分）</w:t>
            </w:r>
          </w:p>
        </w:tc>
        <w:tc>
          <w:tcPr>
            <w:tcW w:w="1638" w:type="dxa"/>
            <w:vMerge w:val="restart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通过问卷调查，学生社团骨干、成员对指导教师满意度（调查范围不少于三分之一社团成员人数并留有问卷、聊天等相关证明截图）</w:t>
            </w:r>
          </w:p>
        </w:tc>
        <w:tc>
          <w:tcPr>
            <w:tcW w:w="297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80%及以上人员满意</w:t>
            </w:r>
          </w:p>
        </w:tc>
        <w:tc>
          <w:tcPr>
            <w:tcW w:w="866" w:type="dxa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10</w:t>
            </w:r>
          </w:p>
        </w:tc>
        <w:tc>
          <w:tcPr>
            <w:tcW w:w="799" w:type="dxa"/>
            <w:vMerge w:val="restart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710" w:hRule="exact"/>
          <w:jc w:val="center"/>
        </w:trPr>
        <w:tc>
          <w:tcPr>
            <w:tcW w:w="2162" w:type="dxa"/>
            <w:vMerge w:val="continue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1638" w:type="dxa"/>
            <w:vMerge w:val="continue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297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80-60%人员满意</w:t>
            </w:r>
          </w:p>
        </w:tc>
        <w:tc>
          <w:tcPr>
            <w:tcW w:w="866" w:type="dxa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5</w:t>
            </w:r>
          </w:p>
        </w:tc>
        <w:tc>
          <w:tcPr>
            <w:tcW w:w="799" w:type="dxa"/>
            <w:vMerge w:val="continue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1246" w:hRule="exact"/>
          <w:jc w:val="center"/>
        </w:trPr>
        <w:tc>
          <w:tcPr>
            <w:tcW w:w="2162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1638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  <w:tc>
          <w:tcPr>
            <w:tcW w:w="297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60%以下人员满意</w:t>
            </w:r>
          </w:p>
        </w:tc>
        <w:tc>
          <w:tcPr>
            <w:tcW w:w="866" w:type="dxa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0</w:t>
            </w:r>
          </w:p>
        </w:tc>
        <w:tc>
          <w:tcPr>
            <w:tcW w:w="799" w:type="dxa"/>
            <w:vMerge w:val="continue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67" w:hRule="exact"/>
          <w:jc w:val="center"/>
        </w:trPr>
        <w:tc>
          <w:tcPr>
            <w:tcW w:w="7642" w:type="dxa"/>
            <w:gridSpan w:val="5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总  分</w:t>
            </w:r>
          </w:p>
        </w:tc>
        <w:tc>
          <w:tcPr>
            <w:tcW w:w="799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4249" w:hRule="exact"/>
          <w:jc w:val="center"/>
        </w:trPr>
        <w:tc>
          <w:tcPr>
            <w:tcW w:w="84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sz w:val="24"/>
                <w:kern w:val="0"/>
                <w:szCs w:val="28"/>
                <w:rFonts w:ascii="仿宋_GB2312" w:hAnsi="仿宋_GB2312" w:eastAsia="仿宋_GB2312" w:cs="仿宋_GB2312"/>
              </w:rPr>
            </w:pPr>
            <w:r>
              <w:rPr>
                <w:b w:val="1"/>
                <w:sz w:val="24"/>
                <w:kern w:val="0"/>
                <w:szCs w:val="28"/>
                <w:rFonts w:ascii="仿宋_GB2312" w:hAnsi="仿宋_GB2312" w:eastAsia="仿宋_GB2312" w:cs="仿宋_GB2312" w:hint="eastAsia"/>
              </w:rPr>
              <w:t>社团负责人、骨干与成员对指导教师的意见与建议：</w:t>
            </w:r>
          </w:p>
        </w:tc>
      </w:tr>
    </w:tbl>
    <w:p>
      <w:pPr>
        <w:adjustRightInd w:val="0"/>
        <w:snapToGrid w:val="0"/>
        <w:jc w:val="left"/>
        <w:ind w:firstLine="480" w:firstLineChars="200"/>
        <w:rPr>
          <w:sz w:val="24"/>
          <w:szCs w:val="24"/>
          <w:rFonts w:ascii="仿宋" w:hAnsi="仿宋" w:eastAsia="仿宋"/>
        </w:rPr>
      </w:pPr>
      <w:bookmarkStart w:id="0" w:name="_GoBack"/>
      <w:bookmarkEnd w:id="0"/>
      <w:r>
        <w:rPr>
          <w:sz w:val="24"/>
          <w:szCs w:val="24"/>
          <w:rFonts w:ascii="仿宋_GB2312" w:hAnsi="仿宋_GB2312" w:eastAsia="仿宋_GB2312" w:cs="仿宋_GB2312" w:hint="eastAsia"/>
        </w:rPr>
        <w:t>注：学生社团负责人于</w:t>
      </w:r>
      <w:r>
        <w:rPr>
          <w:sz w:val="24"/>
          <w:szCs w:val="24"/>
          <w:rFonts w:ascii="仿宋_GB2312" w:hAnsi="仿宋_GB2312" w:eastAsia="仿宋_GB2312" w:cs="仿宋_GB2312"/>
        </w:rPr>
        <w:t>6月2</w:t>
      </w:r>
      <w:r>
        <w:rPr>
          <w:sz w:val="24"/>
          <w:lang w:val="en-US" w:eastAsia="zh-CN"/>
          <w:szCs w:val="24"/>
          <w:rFonts w:ascii="仿宋_GB2312" w:hAnsi="仿宋_GB2312" w:eastAsia="仿宋_GB2312" w:cs="仿宋_GB2312" w:hint="eastAsia"/>
        </w:rPr>
        <w:t>1</w:t>
      </w:r>
      <w:r>
        <w:rPr>
          <w:sz w:val="24"/>
          <w:szCs w:val="24"/>
          <w:rFonts w:ascii="仿宋_GB2312" w:hAnsi="仿宋_GB2312" w:eastAsia="仿宋_GB2312" w:cs="仿宋_GB2312"/>
        </w:rPr>
        <w:t>日（周</w:t>
      </w:r>
      <w:r>
        <w:rPr>
          <w:sz w:val="24"/>
          <w:lang w:val="en-US" w:eastAsia="zh-CN"/>
          <w:szCs w:val="24"/>
          <w:rFonts w:ascii="仿宋_GB2312" w:hAnsi="仿宋_GB2312" w:eastAsia="仿宋_GB2312" w:cs="仿宋_GB2312" w:hint="eastAsia"/>
        </w:rPr>
        <w:t>五</w:t>
      </w:r>
      <w:r>
        <w:rPr>
          <w:sz w:val="24"/>
          <w:szCs w:val="24"/>
          <w:rFonts w:ascii="仿宋_GB2312" w:hAnsi="仿宋_GB2312" w:eastAsia="仿宋_GB2312" w:cs="仿宋_GB2312"/>
        </w:rPr>
        <w:t>）前提交《北京林业大学学生社团指导教师评议表》（附件2）至</w:t>
      </w:r>
      <w:r>
        <w:rPr>
          <w:sz w:val="24"/>
          <w:lang w:val="en-US" w:eastAsia="zh-CN"/>
          <w:szCs w:val="24"/>
          <w:rFonts w:ascii="仿宋_GB2312" w:hAnsi="仿宋_GB2312" w:eastAsia="仿宋_GB2312" w:cs="仿宋_GB2312" w:hint="eastAsia"/>
        </w:rPr>
        <w:t>kaopeizx</w:t>
      </w:r>
      <w:r>
        <w:rPr>
          <w:sz w:val="24"/>
          <w:szCs w:val="24"/>
          <w:rFonts w:ascii="仿宋_GB2312" w:hAnsi="仿宋_GB2312" w:eastAsia="仿宋_GB2312" w:cs="仿宋_GB2312"/>
        </w:rPr>
        <w:t>@1</w:t>
      </w:r>
      <w:r>
        <w:rPr>
          <w:sz w:val="24"/>
          <w:lang w:val="en-US" w:eastAsia="zh-CN"/>
          <w:szCs w:val="24"/>
          <w:rFonts w:ascii="仿宋_GB2312" w:hAnsi="仿宋_GB2312" w:eastAsia="仿宋_GB2312" w:cs="仿宋_GB2312" w:hint="eastAsia"/>
        </w:rPr>
        <w:t>26</w:t>
      </w:r>
      <w:r>
        <w:rPr>
          <w:sz w:val="24"/>
          <w:szCs w:val="24"/>
          <w:rFonts w:ascii="仿宋_GB2312" w:hAnsi="仿宋_GB2312" w:eastAsia="仿宋_GB2312" w:cs="仿宋_GB2312"/>
        </w:rPr>
        <w:t>.com（命名“指导教师考核+社团名称+学生负责人”）。</w:t>
      </w:r>
    </w:p>
    <w:sectPr>
      <w:footerReference r:id="rId4" w:type="default"/>
      <w:docGrid w:type="lines" w:linePitch="312" w:charSpace="0"/>
      <w:pgSz w:w="11906" w:h="16838"/>
      <w:pgMar w:top="1531" w:right="1474" w:bottom="1587" w:left="1984" w:header="851" w:footer="992" w:gutter="0"/>
      <w:cols w:space="425" w:num="1"/>
    </w:sectPr>
  </w:body>
</w:document>
</file>