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3EFAA0">
      <w:pPr>
        <w:spacing w:line="400" w:lineRule="exact"/>
        <w:jc w:val="left"/>
        <w:rPr>
          <w:rFonts w:hint="eastAsia" w:ascii="仿宋_GB2312" w:hAnsi="仿宋_GB2312" w:eastAsia="仿宋_GB2312" w:cs="楷体"/>
          <w:sz w:val="32"/>
          <w:szCs w:val="32"/>
        </w:rPr>
      </w:pPr>
      <w:r>
        <w:rPr>
          <w:rFonts w:hint="eastAsia" w:ascii="仿宋_GB2312" w:hAnsi="仿宋_GB2312" w:eastAsia="仿宋_GB2312" w:cs="楷体"/>
          <w:sz w:val="32"/>
          <w:szCs w:val="32"/>
        </w:rPr>
        <w:t>附件</w:t>
      </w:r>
      <w:r>
        <w:rPr>
          <w:rFonts w:hint="eastAsia" w:ascii="仿宋_GB2312" w:hAnsi="仿宋_GB2312" w:eastAsia="仿宋_GB2312" w:cs="楷体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楷体"/>
          <w:sz w:val="32"/>
          <w:szCs w:val="32"/>
        </w:rPr>
        <w:t>：</w:t>
      </w:r>
    </w:p>
    <w:p w14:paraId="21217364">
      <w:pPr>
        <w:jc w:val="center"/>
        <w:rPr>
          <w:rFonts w:hint="eastAsia" w:ascii="小标宋" w:hAnsi="小标宋" w:eastAsia="小标宋" w:cs="小标宋"/>
          <w:sz w:val="30"/>
          <w:szCs w:val="30"/>
        </w:rPr>
      </w:pPr>
      <w:r>
        <w:rPr>
          <w:rFonts w:hint="eastAsia" w:ascii="小标宋" w:hAnsi="小标宋" w:eastAsia="小标宋" w:cs="小标宋"/>
          <w:sz w:val="30"/>
          <w:szCs w:val="30"/>
          <w:lang w:val="en-US" w:eastAsia="zh-CN"/>
        </w:rPr>
        <w:t>第二届生态文明素养提升</w:t>
      </w:r>
      <w:r>
        <w:rPr>
          <w:rFonts w:hint="eastAsia" w:ascii="小标宋" w:hAnsi="小标宋" w:eastAsia="小标宋" w:cs="小标宋"/>
          <w:sz w:val="30"/>
          <w:szCs w:val="30"/>
        </w:rPr>
        <w:t>课程征集大赛初赛评分标准</w:t>
      </w:r>
    </w:p>
    <w:tbl>
      <w:tblPr>
        <w:tblStyle w:val="4"/>
        <w:tblW w:w="92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1772"/>
        <w:gridCol w:w="5086"/>
        <w:gridCol w:w="1451"/>
      </w:tblGrid>
      <w:tr w14:paraId="1EDB5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2677" w:type="dxa"/>
            <w:gridSpan w:val="2"/>
            <w:tcBorders>
              <w:right w:val="single" w:color="auto" w:sz="0" w:space="0"/>
            </w:tcBorders>
            <w:vAlign w:val="center"/>
          </w:tcPr>
          <w:p w14:paraId="1B547DB3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宋体"/>
                <w:b/>
                <w:bCs/>
                <w:sz w:val="24"/>
              </w:rPr>
              <w:t>评分项目</w:t>
            </w:r>
          </w:p>
        </w:tc>
        <w:tc>
          <w:tcPr>
            <w:tcW w:w="5086" w:type="dxa"/>
            <w:tcBorders>
              <w:left w:val="single" w:color="auto" w:sz="0" w:space="0"/>
              <w:right w:val="single" w:color="auto" w:sz="0" w:space="0"/>
            </w:tcBorders>
            <w:vAlign w:val="center"/>
          </w:tcPr>
          <w:p w14:paraId="1367029D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宋体"/>
                <w:b/>
                <w:bCs/>
                <w:sz w:val="24"/>
              </w:rPr>
              <w:t>具体内容和评分细则</w:t>
            </w:r>
          </w:p>
        </w:tc>
        <w:tc>
          <w:tcPr>
            <w:tcW w:w="1451" w:type="dxa"/>
            <w:tcBorders>
              <w:left w:val="single" w:color="auto" w:sz="0" w:space="0"/>
            </w:tcBorders>
            <w:vAlign w:val="center"/>
          </w:tcPr>
          <w:p w14:paraId="71DBF88E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宋体"/>
                <w:b/>
                <w:bCs/>
                <w:sz w:val="24"/>
              </w:rPr>
              <w:t>分值</w:t>
            </w:r>
          </w:p>
        </w:tc>
      </w:tr>
      <w:tr w14:paraId="6367E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905" w:type="dxa"/>
            <w:vMerge w:val="restart"/>
            <w:vAlign w:val="center"/>
          </w:tcPr>
          <w:p w14:paraId="5EA394D3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课程材料</w:t>
            </w:r>
          </w:p>
        </w:tc>
        <w:tc>
          <w:tcPr>
            <w:tcW w:w="1772" w:type="dxa"/>
            <w:vAlign w:val="center"/>
          </w:tcPr>
          <w:p w14:paraId="4491451C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ascii="仿宋_GB2312" w:hAnsi="仿宋_GB2312" w:eastAsia="仿宋_GB2312" w:cs="宋体"/>
                <w:sz w:val="24"/>
              </w:rPr>
              <w:t>完整性</w:t>
            </w:r>
          </w:p>
        </w:tc>
        <w:tc>
          <w:tcPr>
            <w:tcW w:w="5086" w:type="dxa"/>
            <w:vAlign w:val="center"/>
          </w:tcPr>
          <w:p w14:paraId="14151093">
            <w:pPr>
              <w:spacing w:line="400" w:lineRule="exact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ascii="仿宋_GB2312" w:hAnsi="仿宋_GB2312" w:eastAsia="仿宋_GB2312" w:cs="宋体"/>
                <w:sz w:val="24"/>
              </w:rPr>
              <w:t>是否完整</w:t>
            </w:r>
            <w:r>
              <w:rPr>
                <w:rFonts w:hint="eastAsia" w:ascii="仿宋_GB2312" w:hAnsi="仿宋_GB2312" w:eastAsia="仿宋_GB2312" w:cs="宋体"/>
                <w:sz w:val="24"/>
              </w:rPr>
              <w:t>、充分，符合征集要求。</w:t>
            </w:r>
          </w:p>
        </w:tc>
        <w:tc>
          <w:tcPr>
            <w:tcW w:w="1451" w:type="dxa"/>
            <w:vMerge w:val="restart"/>
            <w:vAlign w:val="center"/>
          </w:tcPr>
          <w:p w14:paraId="0729A33C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ascii="仿宋_GB2312" w:hAnsi="仿宋_GB2312" w:eastAsia="仿宋_GB2312" w:cs="宋体"/>
                <w:sz w:val="24"/>
              </w:rPr>
              <w:t>2</w:t>
            </w:r>
            <w:r>
              <w:rPr>
                <w:rFonts w:hint="eastAsia" w:ascii="仿宋_GB2312" w:hAnsi="仿宋_GB2312" w:eastAsia="仿宋_GB2312" w:cs="宋体"/>
                <w:sz w:val="24"/>
              </w:rPr>
              <w:t>0分</w:t>
            </w:r>
          </w:p>
        </w:tc>
      </w:tr>
      <w:tr w14:paraId="53F55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905" w:type="dxa"/>
            <w:vMerge w:val="continue"/>
            <w:vAlign w:val="center"/>
          </w:tcPr>
          <w:p w14:paraId="233E2300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772" w:type="dxa"/>
            <w:vAlign w:val="center"/>
          </w:tcPr>
          <w:p w14:paraId="21D18BE5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ascii="仿宋_GB2312" w:hAnsi="仿宋_GB2312" w:eastAsia="仿宋_GB2312" w:cs="宋体"/>
                <w:sz w:val="24"/>
              </w:rPr>
              <w:t>规范性</w:t>
            </w:r>
          </w:p>
        </w:tc>
        <w:tc>
          <w:tcPr>
            <w:tcW w:w="5086" w:type="dxa"/>
            <w:vAlign w:val="center"/>
          </w:tcPr>
          <w:p w14:paraId="7EF0A24F">
            <w:pPr>
              <w:spacing w:line="400" w:lineRule="exact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ascii="仿宋_GB2312" w:hAnsi="仿宋_GB2312" w:eastAsia="仿宋_GB2312" w:cs="宋体"/>
                <w:sz w:val="24"/>
              </w:rPr>
              <w:t>是否符合规范，如文字排版、图片使用</w:t>
            </w:r>
            <w:r>
              <w:rPr>
                <w:rFonts w:hint="eastAsia" w:ascii="仿宋_GB2312" w:hAnsi="仿宋_GB2312" w:eastAsia="仿宋_GB2312" w:cs="宋体"/>
                <w:sz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宋体"/>
                <w:sz w:val="24"/>
                <w:lang w:val="en-US" w:eastAsia="zh-CN"/>
              </w:rPr>
              <w:t>教具使用</w:t>
            </w:r>
            <w:r>
              <w:rPr>
                <w:rFonts w:ascii="仿宋_GB2312" w:hAnsi="仿宋_GB2312" w:eastAsia="仿宋_GB2312" w:cs="宋体"/>
                <w:sz w:val="24"/>
              </w:rPr>
              <w:t>等。</w:t>
            </w:r>
          </w:p>
        </w:tc>
        <w:tc>
          <w:tcPr>
            <w:tcW w:w="1451" w:type="dxa"/>
            <w:vMerge w:val="continue"/>
            <w:vAlign w:val="center"/>
          </w:tcPr>
          <w:p w14:paraId="708FB3E5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03A34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905" w:type="dxa"/>
            <w:vMerge w:val="restart"/>
            <w:vAlign w:val="center"/>
          </w:tcPr>
          <w:p w14:paraId="069D68D2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  <w:p w14:paraId="5FCAF9FB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课程内容</w:t>
            </w:r>
          </w:p>
          <w:p w14:paraId="08E50D25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772" w:type="dxa"/>
            <w:vAlign w:val="center"/>
          </w:tcPr>
          <w:p w14:paraId="5635FAB0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主题明确性</w:t>
            </w:r>
          </w:p>
        </w:tc>
        <w:tc>
          <w:tcPr>
            <w:tcW w:w="5086" w:type="dxa"/>
            <w:vAlign w:val="center"/>
          </w:tcPr>
          <w:p w14:paraId="6FDF1F41">
            <w:pPr>
              <w:spacing w:line="400" w:lineRule="exact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主题</w:t>
            </w:r>
            <w:r>
              <w:rPr>
                <w:rFonts w:ascii="仿宋_GB2312" w:hAnsi="仿宋_GB2312" w:eastAsia="仿宋_GB2312" w:cs="宋体"/>
                <w:sz w:val="24"/>
              </w:rPr>
              <w:t>是否</w:t>
            </w:r>
            <w:r>
              <w:rPr>
                <w:rFonts w:hint="eastAsia" w:ascii="仿宋_GB2312" w:hAnsi="仿宋_GB2312" w:eastAsia="仿宋_GB2312" w:cs="宋体"/>
                <w:sz w:val="24"/>
                <w:lang w:val="en-US" w:eastAsia="zh-CN"/>
              </w:rPr>
              <w:t>围绕</w:t>
            </w:r>
            <w:r>
              <w:rPr>
                <w:rFonts w:hint="eastAsia" w:ascii="仿宋_GB2312" w:hAnsi="仿宋_GB2312" w:eastAsia="仿宋_GB2312" w:cs="宋体"/>
                <w:sz w:val="24"/>
              </w:rPr>
              <w:t>鹫峰生态文明教育实践</w:t>
            </w:r>
            <w:r>
              <w:rPr>
                <w:rFonts w:ascii="仿宋_GB2312" w:hAnsi="仿宋_GB2312" w:eastAsia="仿宋_GB2312" w:cs="宋体"/>
                <w:sz w:val="24"/>
              </w:rPr>
              <w:t>，是否清晰明确地传达了</w:t>
            </w:r>
            <w:r>
              <w:rPr>
                <w:rFonts w:hint="eastAsia" w:ascii="仿宋_GB2312" w:hAnsi="仿宋_GB2312" w:eastAsia="仿宋_GB2312" w:cs="宋体"/>
                <w:sz w:val="24"/>
              </w:rPr>
              <w:t>大赛</w:t>
            </w:r>
            <w:r>
              <w:rPr>
                <w:rFonts w:ascii="仿宋_GB2312" w:hAnsi="仿宋_GB2312" w:eastAsia="仿宋_GB2312" w:cs="宋体"/>
                <w:sz w:val="24"/>
              </w:rPr>
              <w:t>理念。</w:t>
            </w:r>
          </w:p>
        </w:tc>
        <w:tc>
          <w:tcPr>
            <w:tcW w:w="1451" w:type="dxa"/>
            <w:vMerge w:val="restart"/>
            <w:vAlign w:val="center"/>
          </w:tcPr>
          <w:p w14:paraId="5DBF0157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ascii="仿宋_GB2312" w:hAnsi="仿宋_GB2312" w:eastAsia="仿宋_GB2312" w:cs="宋体"/>
                <w:sz w:val="24"/>
              </w:rPr>
              <w:t>40</w:t>
            </w:r>
            <w:r>
              <w:rPr>
                <w:rFonts w:hint="eastAsia" w:ascii="仿宋_GB2312" w:hAnsi="仿宋_GB2312" w:eastAsia="仿宋_GB2312" w:cs="宋体"/>
                <w:sz w:val="24"/>
              </w:rPr>
              <w:t>分</w:t>
            </w:r>
          </w:p>
        </w:tc>
      </w:tr>
      <w:tr w14:paraId="5A344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905" w:type="dxa"/>
            <w:vMerge w:val="continue"/>
            <w:vAlign w:val="center"/>
          </w:tcPr>
          <w:p w14:paraId="0A9463D8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772" w:type="dxa"/>
            <w:vAlign w:val="center"/>
          </w:tcPr>
          <w:p w14:paraId="38E3F85E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受众明确性</w:t>
            </w:r>
          </w:p>
        </w:tc>
        <w:tc>
          <w:tcPr>
            <w:tcW w:w="5086" w:type="dxa"/>
            <w:vAlign w:val="center"/>
          </w:tcPr>
          <w:p w14:paraId="63CDF970">
            <w:pPr>
              <w:spacing w:line="400" w:lineRule="exact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课程是否能够满足其所在组别的受众需求。</w:t>
            </w:r>
          </w:p>
        </w:tc>
        <w:tc>
          <w:tcPr>
            <w:tcW w:w="1451" w:type="dxa"/>
            <w:vMerge w:val="continue"/>
            <w:vAlign w:val="center"/>
          </w:tcPr>
          <w:p w14:paraId="06556217">
            <w:pPr>
              <w:spacing w:line="400" w:lineRule="exact"/>
              <w:jc w:val="center"/>
              <w:rPr>
                <w:rFonts w:ascii="仿宋_GB2312" w:hAnsi="仿宋_GB2312" w:eastAsia="仿宋_GB2312" w:cs="宋体"/>
                <w:sz w:val="24"/>
              </w:rPr>
            </w:pPr>
          </w:p>
        </w:tc>
      </w:tr>
      <w:tr w14:paraId="6B16B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905" w:type="dxa"/>
            <w:vMerge w:val="continue"/>
            <w:vAlign w:val="center"/>
          </w:tcPr>
          <w:p w14:paraId="1A8E4812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772" w:type="dxa"/>
            <w:vAlign w:val="center"/>
          </w:tcPr>
          <w:p w14:paraId="4F718CE2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ascii="仿宋_GB2312" w:hAnsi="仿宋_GB2312" w:eastAsia="仿宋_GB2312" w:cs="宋体"/>
                <w:sz w:val="24"/>
              </w:rPr>
              <w:t>内容创新性</w:t>
            </w:r>
          </w:p>
        </w:tc>
        <w:tc>
          <w:tcPr>
            <w:tcW w:w="5086" w:type="dxa"/>
            <w:vAlign w:val="center"/>
          </w:tcPr>
          <w:p w14:paraId="52369450">
            <w:pPr>
              <w:spacing w:line="400" w:lineRule="exact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ascii="仿宋_GB2312" w:hAnsi="仿宋_GB2312" w:eastAsia="仿宋_GB2312" w:cs="宋体"/>
                <w:sz w:val="24"/>
              </w:rPr>
              <w:t>内容是否新颖、独特，能否体现课程特色和亮点</w:t>
            </w:r>
            <w:r>
              <w:rPr>
                <w:rFonts w:hint="eastAsia" w:ascii="仿宋_GB2312" w:hAnsi="仿宋_GB2312" w:eastAsia="仿宋_GB2312" w:cs="宋体"/>
                <w:sz w:val="24"/>
              </w:rPr>
              <w:t>，</w:t>
            </w:r>
            <w:r>
              <w:rPr>
                <w:rFonts w:ascii="仿宋_GB2312" w:hAnsi="仿宋_GB2312" w:eastAsia="仿宋_GB2312" w:cs="宋体"/>
                <w:sz w:val="24"/>
              </w:rPr>
              <w:t>能否提供新的视角和思考。</w:t>
            </w:r>
          </w:p>
        </w:tc>
        <w:tc>
          <w:tcPr>
            <w:tcW w:w="1451" w:type="dxa"/>
            <w:vMerge w:val="continue"/>
            <w:vAlign w:val="center"/>
          </w:tcPr>
          <w:p w14:paraId="12E4B594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7C2C5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05" w:type="dxa"/>
            <w:vMerge w:val="continue"/>
            <w:vAlign w:val="center"/>
          </w:tcPr>
          <w:p w14:paraId="60F2F852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772" w:type="dxa"/>
            <w:vAlign w:val="center"/>
          </w:tcPr>
          <w:p w14:paraId="642D425F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  <w:lang w:val="en-US" w:eastAsia="zh-CN"/>
              </w:rPr>
              <w:t>可推广性</w:t>
            </w:r>
          </w:p>
        </w:tc>
        <w:tc>
          <w:tcPr>
            <w:tcW w:w="5086" w:type="dxa"/>
            <w:vAlign w:val="center"/>
          </w:tcPr>
          <w:p w14:paraId="37581586">
            <w:pPr>
              <w:spacing w:line="400" w:lineRule="exact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在适当调整活动内容和案例后，能</w:t>
            </w:r>
            <w:r>
              <w:rPr>
                <w:rFonts w:hint="eastAsia" w:ascii="仿宋_GB2312" w:hAnsi="仿宋_GB2312" w:eastAsia="仿宋_GB2312" w:cs="宋体"/>
                <w:sz w:val="24"/>
                <w:lang w:val="en-US" w:eastAsia="zh-CN"/>
              </w:rPr>
              <w:t>否</w:t>
            </w:r>
            <w:r>
              <w:rPr>
                <w:rFonts w:hint="eastAsia" w:ascii="仿宋_GB2312" w:hAnsi="仿宋_GB2312" w:eastAsia="仿宋_GB2312" w:cs="宋体"/>
                <w:sz w:val="24"/>
              </w:rPr>
              <w:t>在其他户外教学场景中开展使用，</w:t>
            </w:r>
            <w:r>
              <w:rPr>
                <w:rFonts w:hint="eastAsia" w:ascii="仿宋_GB2312" w:hAnsi="仿宋_GB2312" w:eastAsia="仿宋_GB2312" w:cs="宋体"/>
                <w:sz w:val="24"/>
                <w:lang w:val="en-US" w:eastAsia="zh-CN"/>
              </w:rPr>
              <w:t>是否</w:t>
            </w:r>
            <w:r>
              <w:rPr>
                <w:rFonts w:hint="eastAsia" w:ascii="仿宋_GB2312" w:hAnsi="仿宋_GB2312" w:eastAsia="仿宋_GB2312" w:cs="宋体"/>
                <w:sz w:val="24"/>
              </w:rPr>
              <w:t>具有较强的示范性和推广应用价值。</w:t>
            </w:r>
          </w:p>
        </w:tc>
        <w:tc>
          <w:tcPr>
            <w:tcW w:w="1451" w:type="dxa"/>
            <w:vMerge w:val="continue"/>
            <w:vAlign w:val="center"/>
          </w:tcPr>
          <w:p w14:paraId="493E7572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66BB3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905" w:type="dxa"/>
            <w:vMerge w:val="restart"/>
            <w:vAlign w:val="center"/>
          </w:tcPr>
          <w:p w14:paraId="4D6B7B59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课程设计</w:t>
            </w:r>
          </w:p>
        </w:tc>
        <w:tc>
          <w:tcPr>
            <w:tcW w:w="1772" w:type="dxa"/>
            <w:vAlign w:val="center"/>
          </w:tcPr>
          <w:p w14:paraId="2F67EAB6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ascii="仿宋_GB2312" w:hAnsi="仿宋_GB2312" w:eastAsia="仿宋_GB2312" w:cs="宋体"/>
                <w:sz w:val="24"/>
              </w:rPr>
              <w:t>逻辑结构</w:t>
            </w:r>
          </w:p>
        </w:tc>
        <w:tc>
          <w:tcPr>
            <w:tcW w:w="5086" w:type="dxa"/>
            <w:vAlign w:val="center"/>
          </w:tcPr>
          <w:p w14:paraId="40A418BE">
            <w:pPr>
              <w:spacing w:line="400" w:lineRule="exact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ascii="仿宋_GB2312" w:hAnsi="仿宋_GB2312" w:eastAsia="仿宋_GB2312" w:cs="宋体"/>
                <w:sz w:val="24"/>
              </w:rPr>
              <w:t>课程结构是否合理，各个环节之间是否紧密相连，能否引导学生逐步深入理解</w:t>
            </w:r>
            <w:r>
              <w:rPr>
                <w:rFonts w:hint="eastAsia" w:ascii="仿宋_GB2312" w:hAnsi="仿宋_GB2312" w:eastAsia="仿宋_GB2312" w:cs="宋体"/>
                <w:sz w:val="24"/>
              </w:rPr>
              <w:t>课程内容</w:t>
            </w:r>
            <w:r>
              <w:rPr>
                <w:rFonts w:ascii="仿宋_GB2312" w:hAnsi="仿宋_GB2312" w:eastAsia="仿宋_GB2312" w:cs="宋体"/>
                <w:sz w:val="24"/>
              </w:rPr>
              <w:t>。</w:t>
            </w:r>
          </w:p>
        </w:tc>
        <w:tc>
          <w:tcPr>
            <w:tcW w:w="1451" w:type="dxa"/>
            <w:vMerge w:val="restart"/>
            <w:vAlign w:val="center"/>
          </w:tcPr>
          <w:p w14:paraId="7255F595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ascii="仿宋_GB2312" w:hAnsi="仿宋_GB2312" w:eastAsia="仿宋_GB2312" w:cs="宋体"/>
                <w:sz w:val="24"/>
              </w:rPr>
              <w:t>4</w:t>
            </w:r>
            <w:r>
              <w:rPr>
                <w:rFonts w:hint="eastAsia" w:ascii="仿宋_GB2312" w:hAnsi="仿宋_GB2312" w:eastAsia="仿宋_GB2312" w:cs="宋体"/>
                <w:sz w:val="24"/>
              </w:rPr>
              <w:t>0分</w:t>
            </w:r>
          </w:p>
        </w:tc>
      </w:tr>
      <w:tr w14:paraId="021E0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905" w:type="dxa"/>
            <w:vMerge w:val="continue"/>
            <w:vAlign w:val="center"/>
          </w:tcPr>
          <w:p w14:paraId="372DC499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772" w:type="dxa"/>
            <w:vAlign w:val="center"/>
          </w:tcPr>
          <w:p w14:paraId="71DBE012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ascii="仿宋_GB2312" w:hAnsi="仿宋_GB2312" w:eastAsia="仿宋_GB2312" w:cs="宋体"/>
                <w:sz w:val="24"/>
              </w:rPr>
              <w:t>教学方法</w:t>
            </w:r>
          </w:p>
        </w:tc>
        <w:tc>
          <w:tcPr>
            <w:tcW w:w="5086" w:type="dxa"/>
            <w:vAlign w:val="center"/>
          </w:tcPr>
          <w:p w14:paraId="1B2FFF1D">
            <w:pPr>
              <w:spacing w:line="400" w:lineRule="exact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ascii="仿宋_GB2312" w:hAnsi="仿宋_GB2312" w:eastAsia="仿宋_GB2312" w:cs="宋体"/>
                <w:sz w:val="24"/>
              </w:rPr>
              <w:t>是否采用了有效的教学方法，如案例分析、小组讨论等，以激发学生的学习兴趣和参与度。</w:t>
            </w:r>
          </w:p>
        </w:tc>
        <w:tc>
          <w:tcPr>
            <w:tcW w:w="1451" w:type="dxa"/>
            <w:vMerge w:val="continue"/>
            <w:vAlign w:val="center"/>
          </w:tcPr>
          <w:p w14:paraId="1B5AB6A8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1F251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905" w:type="dxa"/>
            <w:vMerge w:val="continue"/>
            <w:vAlign w:val="center"/>
          </w:tcPr>
          <w:p w14:paraId="55885E13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772" w:type="dxa"/>
            <w:vAlign w:val="center"/>
          </w:tcPr>
          <w:p w14:paraId="6B8DF357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ascii="仿宋_GB2312" w:hAnsi="仿宋_GB2312" w:eastAsia="仿宋_GB2312" w:cs="宋体"/>
                <w:sz w:val="24"/>
              </w:rPr>
              <w:t>互动设计</w:t>
            </w:r>
          </w:p>
        </w:tc>
        <w:tc>
          <w:tcPr>
            <w:tcW w:w="5086" w:type="dxa"/>
            <w:vAlign w:val="center"/>
          </w:tcPr>
          <w:p w14:paraId="3FBD4BCA">
            <w:pPr>
              <w:spacing w:line="400" w:lineRule="exact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ascii="仿宋_GB2312" w:hAnsi="仿宋_GB2312" w:eastAsia="仿宋_GB2312" w:cs="宋体"/>
                <w:sz w:val="24"/>
              </w:rPr>
              <w:t>是否</w:t>
            </w:r>
            <w:r>
              <w:rPr>
                <w:rFonts w:hint="eastAsia" w:ascii="仿宋_GB2312" w:hAnsi="仿宋_GB2312" w:eastAsia="仿宋_GB2312" w:cs="宋体"/>
                <w:sz w:val="24"/>
              </w:rPr>
              <w:t>融入多元</w:t>
            </w:r>
            <w:r>
              <w:rPr>
                <w:rFonts w:ascii="仿宋_GB2312" w:hAnsi="仿宋_GB2312" w:eastAsia="仿宋_GB2312" w:cs="宋体"/>
                <w:sz w:val="24"/>
              </w:rPr>
              <w:t>的互动环节，如提问、讨论等，以增强学生的参与感和体验感。</w:t>
            </w:r>
          </w:p>
        </w:tc>
        <w:tc>
          <w:tcPr>
            <w:tcW w:w="1451" w:type="dxa"/>
            <w:vMerge w:val="continue"/>
            <w:vAlign w:val="center"/>
          </w:tcPr>
          <w:p w14:paraId="5C114F89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69CD8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905" w:type="dxa"/>
            <w:vMerge w:val="continue"/>
            <w:vAlign w:val="center"/>
          </w:tcPr>
          <w:p w14:paraId="6DA58A0E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772" w:type="dxa"/>
            <w:vAlign w:val="center"/>
          </w:tcPr>
          <w:p w14:paraId="02AE32FA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ascii="仿宋_GB2312" w:hAnsi="仿宋_GB2312" w:eastAsia="仿宋_GB2312" w:cs="宋体"/>
                <w:sz w:val="24"/>
              </w:rPr>
              <w:t>可持续性</w:t>
            </w:r>
            <w:r>
              <w:rPr>
                <w:rFonts w:hint="eastAsia" w:ascii="仿宋_GB2312" w:hAnsi="仿宋_GB2312" w:eastAsia="仿宋_GB2312" w:cs="宋体"/>
                <w:sz w:val="24"/>
              </w:rPr>
              <w:t>实践</w:t>
            </w:r>
          </w:p>
        </w:tc>
        <w:tc>
          <w:tcPr>
            <w:tcW w:w="5086" w:type="dxa"/>
            <w:vAlign w:val="center"/>
          </w:tcPr>
          <w:p w14:paraId="6FE645E8">
            <w:pPr>
              <w:spacing w:line="400" w:lineRule="exact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ascii="仿宋_GB2312" w:hAnsi="仿宋_GB2312" w:eastAsia="仿宋_GB2312" w:cs="宋体"/>
                <w:sz w:val="24"/>
              </w:rPr>
              <w:t>课程是否</w:t>
            </w:r>
            <w:r>
              <w:rPr>
                <w:rFonts w:hint="eastAsia" w:ascii="仿宋_GB2312" w:hAnsi="仿宋_GB2312" w:eastAsia="仿宋_GB2312" w:cs="宋体"/>
                <w:sz w:val="24"/>
              </w:rPr>
              <w:t>纳入长期规划</w:t>
            </w:r>
            <w:r>
              <w:rPr>
                <w:rFonts w:ascii="仿宋_GB2312" w:hAnsi="仿宋_GB2312" w:eastAsia="仿宋_GB2312" w:cs="宋体"/>
                <w:sz w:val="24"/>
              </w:rPr>
              <w:t>，能否形成完整的课程体系，为</w:t>
            </w:r>
            <w:r>
              <w:rPr>
                <w:rFonts w:hint="eastAsia" w:ascii="仿宋_GB2312" w:hAnsi="仿宋_GB2312" w:eastAsia="仿宋_GB2312" w:cs="宋体"/>
                <w:sz w:val="24"/>
              </w:rPr>
              <w:t>鹫峰生态文明教育实践</w:t>
            </w:r>
            <w:r>
              <w:rPr>
                <w:rFonts w:ascii="仿宋_GB2312" w:hAnsi="仿宋_GB2312" w:eastAsia="仿宋_GB2312" w:cs="宋体"/>
                <w:sz w:val="24"/>
              </w:rPr>
              <w:t>做出</w:t>
            </w:r>
            <w:r>
              <w:rPr>
                <w:rFonts w:hint="eastAsia" w:ascii="仿宋_GB2312" w:hAnsi="仿宋_GB2312" w:eastAsia="仿宋_GB2312" w:cs="宋体"/>
                <w:sz w:val="24"/>
              </w:rPr>
              <w:t>持续性</w:t>
            </w:r>
            <w:r>
              <w:rPr>
                <w:rFonts w:ascii="仿宋_GB2312" w:hAnsi="仿宋_GB2312" w:eastAsia="仿宋_GB2312" w:cs="宋体"/>
                <w:sz w:val="24"/>
              </w:rPr>
              <w:t>贡献。</w:t>
            </w:r>
          </w:p>
        </w:tc>
        <w:tc>
          <w:tcPr>
            <w:tcW w:w="1451" w:type="dxa"/>
            <w:vMerge w:val="continue"/>
            <w:vAlign w:val="center"/>
          </w:tcPr>
          <w:p w14:paraId="7014D21D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</w:tbl>
    <w:p w14:paraId="0C657266">
      <w:pPr>
        <w:spacing w:line="400" w:lineRule="exact"/>
        <w:jc w:val="left"/>
        <w:rPr>
          <w:rFonts w:hint="eastAsia" w:ascii="仿宋_GB2312" w:hAnsi="仿宋_GB2312" w:eastAsia="仿宋_GB2312" w:cs="宋体"/>
          <w:b/>
          <w:bCs/>
          <w:sz w:val="24"/>
        </w:rPr>
      </w:pPr>
      <w:r>
        <w:rPr>
          <w:rFonts w:hint="eastAsia" w:ascii="仿宋_GB2312" w:hAnsi="仿宋_GB2312" w:eastAsia="仿宋_GB2312" w:cs="宋体"/>
          <w:b/>
          <w:bCs/>
          <w:sz w:val="24"/>
        </w:rPr>
        <w:t>注：</w:t>
      </w:r>
    </w:p>
    <w:p w14:paraId="2AE27418">
      <w:pPr>
        <w:spacing w:line="400" w:lineRule="exact"/>
        <w:ind w:firstLine="482" w:firstLineChars="200"/>
        <w:jc w:val="left"/>
        <w:rPr>
          <w:rFonts w:hint="eastAsia" w:ascii="仿宋_GB2312" w:hAnsi="仿宋_GB2312" w:eastAsia="仿宋_GB2312" w:cs="宋体"/>
          <w:b/>
          <w:bCs/>
          <w:sz w:val="24"/>
        </w:rPr>
      </w:pPr>
      <w:r>
        <w:rPr>
          <w:rFonts w:hint="eastAsia" w:ascii="仿宋_GB2312" w:hAnsi="仿宋_GB2312" w:eastAsia="仿宋_GB2312" w:cs="宋体"/>
          <w:b/>
          <w:bCs/>
          <w:sz w:val="24"/>
        </w:rPr>
        <w:t>1.初赛评选结果依据分数排名划分为：晋级、通过、未通过；</w:t>
      </w:r>
    </w:p>
    <w:p w14:paraId="18AB47D0">
      <w:pPr>
        <w:spacing w:line="400" w:lineRule="exact"/>
        <w:ind w:firstLine="482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宋体"/>
          <w:b/>
          <w:bCs/>
          <w:sz w:val="24"/>
        </w:rPr>
        <w:t>2.材料不齐全或严重偏离主题的作品直接标注为“未通过”。</w:t>
      </w:r>
    </w:p>
    <w:p w14:paraId="3CD2ACC6">
      <w:bookmarkStart w:id="0" w:name="_GoBack"/>
      <w:bookmarkEnd w:id="0"/>
    </w:p>
    <w:sectPr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0F61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2025-12-26T03:02:39Z</dcterms:created>
  <dc:creator>lw119</dc:creator>
  <cp:lastModifiedBy>¥</cp:lastModifiedBy>
  <dcterms:modified xsi:type="dcterms:W3CDTF">2025-12-26T03:02:43Z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eyJoZGlkIjoiOWMyZGJmZWQzYmRjMzYyOTRmZDQyY2Y2ZmE4MjNiNDYiLCJ1c2VySWQiOiIzOTM2NTE3NzkifQ==</vt:lpwstr>
  </property>
  <property fmtid="{D5CDD505-2E9C-101B-9397-08002B2CF9AE}" pid="4" name="ICV">
    <vt:lpwstr>4EE50C119B534404B7EA7FADF51DEF01_12</vt:lpwstr>
  </property>
</Properties>
</file>